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057AFE39" w:rsidR="007A5B38" w:rsidRPr="00202A3B" w:rsidRDefault="007A5B38" w:rsidP="007A5B38">
      <w:pPr>
        <w:pStyle w:val="3GPPHeader"/>
        <w:rPr>
          <w:lang w:val="en-US"/>
        </w:rPr>
      </w:pPr>
      <w:bookmarkStart w:id="0" w:name="_Hlk489988649"/>
      <w:bookmarkEnd w:id="0"/>
      <w:r w:rsidRPr="00202A3B">
        <w:rPr>
          <w:lang w:val="en-US"/>
        </w:rPr>
        <w:t>3GPP TSG-RAN WG1 NR Ad Hoc #3</w:t>
      </w:r>
      <w:r w:rsidRPr="00202A3B">
        <w:rPr>
          <w:lang w:val="en-US"/>
        </w:rPr>
        <w:tab/>
      </w:r>
      <w:r w:rsidR="00202A3B" w:rsidRPr="00202A3B">
        <w:t>R1-1716607</w:t>
      </w:r>
    </w:p>
    <w:p w14:paraId="161050DA" w14:textId="77777777" w:rsidR="007A5B38" w:rsidRPr="001B4FC6" w:rsidRDefault="007A5B38" w:rsidP="007A5B38">
      <w:pPr>
        <w:pStyle w:val="3GPPHeader"/>
        <w:rPr>
          <w:lang w:val="en-US"/>
        </w:rPr>
      </w:pPr>
      <w:r w:rsidRPr="001B4FC6">
        <w:rPr>
          <w:lang w:val="en-US"/>
        </w:rPr>
        <w:t>Nagoya, Japan, 18th – 21st, September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DF780AC" w:rsidR="00E90E49" w:rsidRPr="00327997" w:rsidRDefault="003D3C45" w:rsidP="00327997">
      <w:pPr>
        <w:pStyle w:val="3GPPHeader"/>
      </w:pPr>
      <w:r w:rsidRPr="00327997">
        <w:t>Title:</w:t>
      </w:r>
      <w:r w:rsidR="00E90E49" w:rsidRPr="00327997">
        <w:tab/>
      </w:r>
      <w:r w:rsidR="006C7633">
        <w:t>Beam specific PC in NR</w:t>
      </w:r>
    </w:p>
    <w:p w14:paraId="2D554DE3" w14:textId="6F54E934" w:rsidR="00952A24" w:rsidRPr="00327997" w:rsidRDefault="00952A24" w:rsidP="00327997">
      <w:pPr>
        <w:pStyle w:val="3GPPHeader"/>
      </w:pPr>
      <w:r w:rsidRPr="00327997">
        <w:t>Agenda Item:</w:t>
      </w:r>
      <w:r w:rsidRPr="00327997">
        <w:tab/>
      </w:r>
      <w:r w:rsidR="00726174">
        <w:rPr>
          <w:lang w:val="en-AU"/>
        </w:rPr>
        <w:t>6.7.2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602F956B" w:rsidR="00E90E49" w:rsidRDefault="007F75D5" w:rsidP="006C7633">
      <w:pPr>
        <w:pStyle w:val="Heading1"/>
      </w:pPr>
      <w:r>
        <w:t>Introduction</w:t>
      </w:r>
    </w:p>
    <w:p w14:paraId="1E8BB144" w14:textId="5A717899" w:rsidR="006C7633" w:rsidRPr="00DF500E" w:rsidRDefault="006C7633" w:rsidP="006C7633">
      <w:r w:rsidRPr="004768B3">
        <w:rPr>
          <w:lang w:val="en-AU"/>
        </w:rPr>
        <w:t xml:space="preserve">It has been agreed that NR supports beam specific power control. In our mind beam specific power control will enable use cases where separate power control in multiple UE TX and </w:t>
      </w:r>
      <w:proofErr w:type="spellStart"/>
      <w:r w:rsidRPr="004768B3">
        <w:rPr>
          <w:lang w:val="en-AU"/>
        </w:rPr>
        <w:t>gNB</w:t>
      </w:r>
      <w:proofErr w:type="spellEnd"/>
      <w:r w:rsidRPr="004768B3">
        <w:rPr>
          <w:lang w:val="en-AU"/>
        </w:rPr>
        <w:t xml:space="preserve"> RX beam pairs are maintained. </w:t>
      </w:r>
      <w:r w:rsidRPr="00DF500E">
        <w:t>Use cases include for instance</w:t>
      </w:r>
    </w:p>
    <w:p w14:paraId="701C38F8" w14:textId="5F683E1D" w:rsidR="006C7633" w:rsidRPr="004768B3" w:rsidRDefault="006C7633" w:rsidP="006C7633">
      <w:pPr>
        <w:numPr>
          <w:ilvl w:val="0"/>
          <w:numId w:val="35"/>
        </w:numPr>
        <w:overflowPunct/>
        <w:autoSpaceDE/>
        <w:autoSpaceDN/>
        <w:adjustRightInd/>
        <w:spacing w:after="180" w:line="259" w:lineRule="auto"/>
        <w:contextualSpacing/>
        <w:jc w:val="left"/>
        <w:textAlignment w:val="auto"/>
        <w:rPr>
          <w:lang w:val="en-AU"/>
        </w:rPr>
      </w:pPr>
      <w:r w:rsidRPr="004768B3">
        <w:rPr>
          <w:lang w:val="en-AU"/>
        </w:rPr>
        <w:t xml:space="preserve">A UE transmitting to a TRP using a certain beam switches to another beam and then consequently also switches from one </w:t>
      </w:r>
      <w:r w:rsidR="001C772C">
        <w:rPr>
          <w:lang w:val="en-AU"/>
        </w:rPr>
        <w:t>set of PC parameters (PC-parameter-set</w:t>
      </w:r>
      <w:r w:rsidR="004C4136">
        <w:rPr>
          <w:lang w:val="en-AU"/>
        </w:rPr>
        <w:t>, e.g. P0, alpha</w:t>
      </w:r>
      <w:r w:rsidR="001C772C">
        <w:rPr>
          <w:lang w:val="en-AU"/>
        </w:rPr>
        <w:t>)</w:t>
      </w:r>
      <w:r w:rsidRPr="004768B3">
        <w:rPr>
          <w:lang w:val="en-AU"/>
        </w:rPr>
        <w:t xml:space="preserve"> to another.  </w:t>
      </w:r>
    </w:p>
    <w:p w14:paraId="721C0018" w14:textId="3D23CE54" w:rsidR="008D3E5D" w:rsidRPr="008D3E5D" w:rsidRDefault="006C7633" w:rsidP="006C7633">
      <w:pPr>
        <w:numPr>
          <w:ilvl w:val="0"/>
          <w:numId w:val="35"/>
        </w:numPr>
        <w:overflowPunct/>
        <w:autoSpaceDE/>
        <w:autoSpaceDN/>
        <w:adjustRightInd/>
        <w:spacing w:after="180" w:line="259" w:lineRule="auto"/>
        <w:contextualSpacing/>
        <w:jc w:val="left"/>
        <w:textAlignment w:val="auto"/>
        <w:rPr>
          <w:lang w:val="en-AU"/>
        </w:rPr>
      </w:pPr>
      <w:r w:rsidRPr="004768B3">
        <w:rPr>
          <w:lang w:val="en-AU"/>
        </w:rPr>
        <w:t xml:space="preserve">A UE transmitting to a TRPs switches to another TRP and then consequently also switches from one </w:t>
      </w:r>
      <w:r w:rsidR="004C4136">
        <w:rPr>
          <w:lang w:val="en-AU"/>
        </w:rPr>
        <w:t>PC-parameter-set</w:t>
      </w:r>
      <w:r w:rsidRPr="004768B3">
        <w:rPr>
          <w:lang w:val="en-AU"/>
        </w:rPr>
        <w:t xml:space="preserve"> to another. </w:t>
      </w:r>
    </w:p>
    <w:p w14:paraId="46380668" w14:textId="1A7BCD58" w:rsidR="008D3E5D" w:rsidRDefault="008D3E5D" w:rsidP="008D3E5D">
      <w:pPr>
        <w:pStyle w:val="BodyText"/>
      </w:pPr>
      <w:r>
        <w:t>The formula for beam specific PC</w:t>
      </w:r>
      <w:r w:rsidR="00F056B2">
        <w:t>, where we use PUSCH as an example,</w:t>
      </w:r>
      <w:r>
        <w:t xml:space="preserve"> may be written as  </w:t>
      </w:r>
    </w:p>
    <w:p w14:paraId="6E5AAE1A" w14:textId="52BDF6E0" w:rsidR="008D3E5D" w:rsidRDefault="00840154" w:rsidP="008D3E5D">
      <w:pPr>
        <w:pStyle w:val="BodyText"/>
        <w:rPr>
          <w:rFonts w:cs="Arial"/>
        </w:rPr>
      </w:pP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PUSCH,c</m:t>
            </m:r>
          </m:sub>
          <m:sup/>
        </m:sSubSup>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CMAX,c</m:t>
                    </m:r>
                  </m:sub>
                  <m:sup/>
                </m:sSubSup>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rPr>
                      <m:t>0,PUSCH</m:t>
                    </m:r>
                  </m:sub>
                  <m:sup>
                    <m:r>
                      <w:rPr>
                        <w:rFonts w:ascii="Cambria Math" w:hAnsi="Cambria Math" w:cs="Arial"/>
                      </w:rPr>
                      <m:t>i</m:t>
                    </m:r>
                  </m:sup>
                </m:sSubSup>
                <m:r>
                  <w:rPr>
                    <w:rFonts w:ascii="Cambria Math" w:hAnsi="Cambria Math" w:cs="Arial"/>
                  </w:rPr>
                  <m:t>+</m:t>
                </m:r>
                <m:sSub>
                  <m:sSubPr>
                    <m:ctrlPr>
                      <w:rPr>
                        <w:rFonts w:ascii="Cambria Math" w:hAnsi="Cambria Math" w:cs="Arial"/>
                      </w:rPr>
                    </m:ctrlPr>
                  </m:sSubPr>
                  <m:e>
                    <m:r>
                      <w:rPr>
                        <w:rFonts w:ascii="Cambria Math" w:hAnsi="Cambria Math" w:cs="Arial"/>
                      </w:rPr>
                      <m:t>α</m:t>
                    </m:r>
                  </m:e>
                  <m:sub>
                    <m:r>
                      <w:rPr>
                        <w:rFonts w:ascii="Cambria Math" w:hAnsi="Cambria Math" w:cs="Arial"/>
                      </w:rPr>
                      <m:t>i</m:t>
                    </m:r>
                  </m:sub>
                </m:sSub>
                <m:r>
                  <w:rPr>
                    <w:rFonts w:ascii="Cambria Math" w:hAnsi="Cambria Math" w:cs="Arial"/>
                  </w:rPr>
                  <m:t>PL</m:t>
                </m:r>
              </m:e>
              <m:sub>
                <m:r>
                  <w:rPr>
                    <w:rFonts w:ascii="Cambria Math" w:hAnsi="Cambria Math" w:cs="Arial"/>
                  </w:rPr>
                  <m:t>c</m:t>
                </m:r>
              </m:sub>
              <m:sup>
                <m:r>
                  <w:rPr>
                    <w:rFonts w:ascii="Cambria Math" w:hAnsi="Cambria Math" w:cs="Arial"/>
                  </w:rPr>
                  <m:t>i</m:t>
                </m:r>
              </m:sup>
            </m:sSubSup>
            <m:r>
              <w:rPr>
                <w:rFonts w:ascii="Cambria Math" w:hAnsi="Cambria Math" w:cs="Arial"/>
              </w:rPr>
              <m:t>+</m:t>
            </m:r>
            <m:sSubSup>
              <m:sSubSupPr>
                <m:ctrlPr>
                  <w:rPr>
                    <w:rFonts w:ascii="Cambria Math" w:hAnsi="Cambria Math" w:cs="Arial"/>
                    <w:i/>
                  </w:rPr>
                </m:ctrlPr>
              </m:sSubSupPr>
              <m:e>
                <m:r>
                  <m:rPr>
                    <m:sty m:val="p"/>
                  </m:rPr>
                  <w:rPr>
                    <w:rFonts w:ascii="Cambria Math" w:hAnsi="Cambria Math" w:cs="Arial"/>
                  </w:rPr>
                  <m:t>10</m:t>
                </m:r>
                <m:sSubSup>
                  <m:sSubSupPr>
                    <m:ctrlPr>
                      <w:rPr>
                        <w:rFonts w:ascii="Cambria Math" w:hAnsi="Cambria Math" w:cs="Arial"/>
                      </w:rPr>
                    </m:ctrlPr>
                  </m:sSubSupPr>
                  <m:e>
                    <m:r>
                      <w:rPr>
                        <w:rFonts w:ascii="Cambria Math" w:hAnsi="Cambria Math" w:cs="Arial"/>
                      </w:rPr>
                      <m:t>log</m:t>
                    </m:r>
                  </m:e>
                  <m:sub>
                    <m:r>
                      <w:rPr>
                        <w:rFonts w:ascii="Cambria Math" w:hAnsi="Cambria Math" w:cs="Arial"/>
                      </w:rPr>
                      <m:t>10</m:t>
                    </m:r>
                  </m:sub>
                  <m:sup/>
                </m:sSubSup>
                <m:sSub>
                  <m:sSubPr>
                    <m:ctrlPr>
                      <w:rPr>
                        <w:rFonts w:ascii="Cambria Math" w:hAnsi="Cambria Math" w:cs="Arial"/>
                      </w:rPr>
                    </m:ctrlPr>
                  </m:sSubPr>
                  <m:e>
                    <m:r>
                      <w:rPr>
                        <w:rFonts w:ascii="Cambria Math" w:hAnsi="Cambria Math" w:cs="Arial"/>
                      </w:rPr>
                      <m:t>M</m:t>
                    </m:r>
                  </m:e>
                  <m:sub/>
                </m:sSub>
                <m:r>
                  <m:rPr>
                    <m:sty m:val="p"/>
                  </m:rPr>
                  <w:rPr>
                    <w:rFonts w:ascii="Cambria Math" w:hAnsi="Cambria Math" w:cs="Arial"/>
                  </w:rPr>
                  <m:t>+∇</m:t>
                </m:r>
              </m:e>
              <m:sub>
                <m:r>
                  <w:rPr>
                    <w:rFonts w:ascii="Cambria Math" w:hAnsi="Cambria Math" w:cs="Arial"/>
                  </w:rPr>
                  <m:t>MCS</m:t>
                </m:r>
              </m:sub>
              <m:sup/>
            </m:sSubSup>
            <m:r>
              <w:rPr>
                <w:rFonts w:ascii="Cambria Math" w:hAnsi="Cambria Math" w:cs="Arial"/>
              </w:rPr>
              <m:t>+</m:t>
            </m:r>
            <m:sSub>
              <m:sSubPr>
                <m:ctrlPr>
                  <w:rPr>
                    <w:rFonts w:ascii="Cambria Math" w:hAnsi="Cambria Math" w:cs="Arial"/>
                  </w:rPr>
                </m:ctrlPr>
              </m:sSubPr>
              <m:e>
                <m:r>
                  <w:rPr>
                    <w:rFonts w:ascii="Cambria Math" w:hAnsi="Cambria Math" w:cs="Arial"/>
                  </w:rPr>
                  <m:t>δ</m:t>
                </m:r>
              </m:e>
              <m:sub/>
            </m:sSub>
          </m:e>
        </m:d>
      </m:oMath>
      <w:r w:rsidR="008D3E5D">
        <w:rPr>
          <w:rFonts w:cs="Arial"/>
        </w:rPr>
        <w:t>.</w:t>
      </w:r>
    </w:p>
    <w:p w14:paraId="0AA19DE7" w14:textId="4650214F" w:rsidR="008D3E5D" w:rsidRDefault="008D3E5D" w:rsidP="008D3E5D">
      <w:pPr>
        <w:pStyle w:val="BodyText"/>
      </w:pPr>
      <w:r>
        <w:rPr>
          <w:rFonts w:cs="Arial"/>
        </w:rPr>
        <w:t xml:space="preserve">Here the meaning of </w:t>
      </w:r>
      <m:oMath>
        <m:sSub>
          <m:sSubPr>
            <m:ctrlPr>
              <w:rPr>
                <w:rFonts w:ascii="Cambria Math" w:hAnsi="Cambria Math" w:cs="Arial"/>
              </w:rPr>
            </m:ctrlPr>
          </m:sSubPr>
          <m:e>
            <m:r>
              <w:rPr>
                <w:rFonts w:ascii="Cambria Math" w:hAnsi="Cambria Math" w:cs="Arial"/>
              </w:rPr>
              <m:t>α</m:t>
            </m:r>
          </m:e>
          <m:sub>
            <m:r>
              <w:rPr>
                <w:rFonts w:ascii="Cambria Math" w:hAnsi="Cambria Math" w:cs="Arial"/>
              </w:rPr>
              <m:t>i</m:t>
            </m:r>
          </m:sub>
        </m:sSub>
      </m:oMath>
      <w:r>
        <w:rPr>
          <w:rFonts w:cs="Arial"/>
        </w:rPr>
        <w:t xml:space="preserve"> ,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0,PUSCH</m:t>
            </m:r>
          </m:sub>
          <m:sup>
            <m:r>
              <w:rPr>
                <w:rFonts w:ascii="Cambria Math" w:hAnsi="Cambria Math" w:cs="Arial"/>
              </w:rPr>
              <m:t>i</m:t>
            </m:r>
          </m:sup>
        </m:sSubSup>
      </m:oMath>
      <w:r>
        <w:rPr>
          <w:rFonts w:cs="Arial"/>
        </w:rPr>
        <w:t xml:space="preserve">  etc. is that these parameters may be configured in a beam specific manner and may thus depend on a beam index </w:t>
      </w:r>
      <w:proofErr w:type="spellStart"/>
      <w:r w:rsidRPr="0098582B">
        <w:rPr>
          <w:rFonts w:cs="Arial"/>
          <w:i/>
        </w:rPr>
        <w:t>i</w:t>
      </w:r>
      <w:proofErr w:type="spellEnd"/>
      <w:r>
        <w:rPr>
          <w:rFonts w:cs="Arial"/>
        </w:rPr>
        <w:t xml:space="preserve">. They may however also be shared such that for instance </w:t>
      </w:r>
      <m:oMath>
        <m:sSub>
          <m:sSubPr>
            <m:ctrlPr>
              <w:rPr>
                <w:rFonts w:ascii="Cambria Math" w:hAnsi="Cambria Math" w:cs="Arial"/>
              </w:rPr>
            </m:ctrlPr>
          </m:sSubPr>
          <m:e>
            <m:r>
              <w:rPr>
                <w:rFonts w:ascii="Cambria Math" w:hAnsi="Cambria Math" w:cs="Arial"/>
              </w:rPr>
              <m:t>α</m:t>
            </m:r>
          </m:e>
          <m:sub>
            <m:r>
              <w:rPr>
                <w:rFonts w:ascii="Cambria Math" w:hAnsi="Cambria Math" w:cs="Arial"/>
              </w:rPr>
              <m:t>0</m:t>
            </m:r>
          </m:sub>
        </m:sSub>
        <m:r>
          <w:rPr>
            <w:rFonts w:ascii="Cambria Math" w:hAnsi="Cambria Math" w:cs="Arial"/>
          </w:rPr>
          <m:t>=</m:t>
        </m:r>
        <m:sSub>
          <m:sSubPr>
            <m:ctrlPr>
              <w:rPr>
                <w:rFonts w:ascii="Cambria Math" w:hAnsi="Cambria Math" w:cs="Arial"/>
              </w:rPr>
            </m:ctrlPr>
          </m:sSubPr>
          <m:e>
            <m:r>
              <w:rPr>
                <w:rFonts w:ascii="Cambria Math" w:hAnsi="Cambria Math" w:cs="Arial"/>
              </w:rPr>
              <m:t>α</m:t>
            </m:r>
          </m:e>
          <m:sub>
            <m:r>
              <w:rPr>
                <w:rFonts w:ascii="Cambria Math" w:hAnsi="Cambria Math" w:cs="Arial"/>
              </w:rPr>
              <m:t>1</m:t>
            </m:r>
          </m:sub>
        </m:sSub>
        <m:r>
          <w:rPr>
            <w:rFonts w:ascii="Cambria Math" w:hAnsi="Cambria Math" w:cs="Arial"/>
          </w:rPr>
          <m:t>=…=</m:t>
        </m:r>
        <m:sSub>
          <m:sSubPr>
            <m:ctrlPr>
              <w:rPr>
                <w:rFonts w:ascii="Cambria Math" w:hAnsi="Cambria Math" w:cs="Arial"/>
              </w:rPr>
            </m:ctrlPr>
          </m:sSubPr>
          <m:e>
            <m:r>
              <w:rPr>
                <w:rFonts w:ascii="Cambria Math" w:hAnsi="Cambria Math" w:cs="Arial"/>
              </w:rPr>
              <m:t>α</m:t>
            </m:r>
          </m:e>
          <m:sub>
            <m:r>
              <w:rPr>
                <w:rFonts w:ascii="Cambria Math" w:hAnsi="Cambria Math" w:cs="Arial"/>
              </w:rPr>
              <m:t>6</m:t>
            </m:r>
          </m:sub>
        </m:sSub>
        <m:r>
          <w:rPr>
            <w:rFonts w:ascii="Cambria Math" w:hAnsi="Cambria Math" w:cs="Arial"/>
          </w:rPr>
          <m:t>=</m:t>
        </m:r>
        <m:sSub>
          <m:sSubPr>
            <m:ctrlPr>
              <w:rPr>
                <w:rFonts w:ascii="Cambria Math" w:hAnsi="Cambria Math" w:cs="Arial"/>
              </w:rPr>
            </m:ctrlPr>
          </m:sSubPr>
          <m:e>
            <m:r>
              <w:rPr>
                <w:rFonts w:ascii="Cambria Math" w:hAnsi="Cambria Math" w:cs="Arial"/>
              </w:rPr>
              <m:t>α</m:t>
            </m:r>
          </m:e>
          <m:sub/>
        </m:sSub>
      </m:oMath>
      <w:r>
        <w:rPr>
          <w:rFonts w:cs="Arial"/>
        </w:rPr>
        <w:t xml:space="preserve"> meaning that only </w:t>
      </w:r>
      <m:oMath>
        <m:r>
          <w:rPr>
            <w:rFonts w:ascii="Cambria Math" w:hAnsi="Cambria Math" w:cs="Arial"/>
          </w:rPr>
          <m:t>α</m:t>
        </m:r>
      </m:oMath>
      <w:r>
        <w:rPr>
          <w:rFonts w:cs="Arial"/>
        </w:rPr>
        <w:t xml:space="preserve"> needs to be configured, the discussion about these details are still ongoing. However, </w:t>
      </w:r>
      <m:oMath>
        <m:sSubSup>
          <m:sSubSupPr>
            <m:ctrlPr>
              <w:rPr>
                <w:rFonts w:ascii="Cambria Math" w:hAnsi="Cambria Math" w:cs="Arial"/>
                <w:i/>
              </w:rPr>
            </m:ctrlPr>
          </m:sSubSupPr>
          <m:e>
            <m:r>
              <w:rPr>
                <w:rFonts w:ascii="Cambria Math" w:hAnsi="Cambria Math" w:cs="Arial"/>
              </w:rPr>
              <m:t>PL</m:t>
            </m:r>
          </m:e>
          <m:sub>
            <m:r>
              <w:rPr>
                <w:rFonts w:ascii="Cambria Math" w:hAnsi="Cambria Math" w:cs="Arial"/>
              </w:rPr>
              <m:t>c</m:t>
            </m:r>
          </m:sub>
          <m:sup>
            <m:r>
              <w:rPr>
                <w:rFonts w:ascii="Cambria Math" w:hAnsi="Cambria Math" w:cs="Arial"/>
              </w:rPr>
              <m:t>i</m:t>
            </m:r>
          </m:sup>
        </m:sSubSup>
      </m:oMath>
      <w:r>
        <w:t xml:space="preserve"> implies that the path loss estimation is based on the reference signal corresponding to </w:t>
      </w:r>
      <w:proofErr w:type="spellStart"/>
      <w:r w:rsidRPr="000D3A31">
        <w:rPr>
          <w:i/>
        </w:rPr>
        <w:t>i</w:t>
      </w:r>
      <w:proofErr w:type="spellEnd"/>
      <w:r>
        <w:t xml:space="preserve">. Based on this we identify that at least two components need to be in place in order to enable beam specific PC: </w:t>
      </w:r>
    </w:p>
    <w:p w14:paraId="0B1AABAB" w14:textId="20C5BB91" w:rsidR="008D3E5D" w:rsidRDefault="008D3E5D" w:rsidP="008D3E5D">
      <w:pPr>
        <w:pStyle w:val="BodyText"/>
        <w:numPr>
          <w:ilvl w:val="0"/>
          <w:numId w:val="40"/>
        </w:numPr>
      </w:pPr>
      <w:r>
        <w:t xml:space="preserve">A way to connect a certain RS to </w:t>
      </w:r>
      <w:r w:rsidR="004C4136">
        <w:t>PC-parameter-set</w:t>
      </w:r>
      <w:r>
        <w:t xml:space="preserve"> </w:t>
      </w:r>
      <w:proofErr w:type="spellStart"/>
      <w:r w:rsidRPr="008D3E5D">
        <w:rPr>
          <w:i/>
        </w:rPr>
        <w:t>i</w:t>
      </w:r>
      <w:proofErr w:type="spellEnd"/>
      <w:r>
        <w:rPr>
          <w:i/>
        </w:rPr>
        <w:t>,</w:t>
      </w:r>
      <w:r>
        <w:t xml:space="preserve"> and </w:t>
      </w:r>
    </w:p>
    <w:p w14:paraId="40E08A38" w14:textId="4F11E903" w:rsidR="008D3E5D" w:rsidRDefault="008D3E5D" w:rsidP="008D3E5D">
      <w:pPr>
        <w:pStyle w:val="BodyText"/>
        <w:numPr>
          <w:ilvl w:val="0"/>
          <w:numId w:val="40"/>
        </w:numPr>
      </w:pPr>
      <w:r>
        <w:t xml:space="preserve">A way, implicit or explicit, to signal to the UE </w:t>
      </w:r>
      <w:r w:rsidR="007627E0">
        <w:t>which</w:t>
      </w:r>
      <w:r>
        <w:t xml:space="preserve"> </w:t>
      </w:r>
      <w:r w:rsidR="004C4136">
        <w:t>PC-parameter-set</w:t>
      </w:r>
      <w:r>
        <w:t xml:space="preserve"> </w:t>
      </w:r>
      <w:proofErr w:type="spellStart"/>
      <w:r w:rsidRPr="008D3E5D">
        <w:rPr>
          <w:i/>
          <w:u w:val="single"/>
        </w:rPr>
        <w:t>i</w:t>
      </w:r>
      <w:proofErr w:type="spellEnd"/>
      <w:r>
        <w:t xml:space="preserve"> to use when setting the output power</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PUSCH,c</m:t>
            </m:r>
          </m:sub>
          <m:sup/>
        </m:sSubSup>
      </m:oMath>
      <w:r w:rsidR="00A97502">
        <w:t>n for a given PUSCH transmission</w:t>
      </w:r>
      <w:r>
        <w:t>.</w:t>
      </w:r>
    </w:p>
    <w:p w14:paraId="69A0A41E" w14:textId="7F2C259D" w:rsidR="008D3E5D" w:rsidRDefault="008D3E5D" w:rsidP="008D3E5D">
      <w:pPr>
        <w:pStyle w:val="BodyText"/>
      </w:pPr>
      <w:r>
        <w:t>We will give ou</w:t>
      </w:r>
      <w:r w:rsidR="00A97502">
        <w:t>r</w:t>
      </w:r>
      <w:r>
        <w:t xml:space="preserve"> view of these two questions in this contribution. </w:t>
      </w:r>
    </w:p>
    <w:p w14:paraId="3585FF44" w14:textId="117B1C3E" w:rsidR="008D3E5D" w:rsidRPr="008D3E5D" w:rsidRDefault="008A59D9" w:rsidP="008A59D9">
      <w:pPr>
        <w:pStyle w:val="Heading1"/>
      </w:pPr>
      <w:r>
        <w:t xml:space="preserve">Beam indication in beam management </w:t>
      </w:r>
    </w:p>
    <w:p w14:paraId="40241008" w14:textId="58A424E1" w:rsidR="0043084A" w:rsidRPr="0043084A" w:rsidRDefault="008A59D9" w:rsidP="0043084A">
      <w:pPr>
        <w:rPr>
          <w:lang w:val="en-AU"/>
        </w:rPr>
      </w:pPr>
      <w:r>
        <w:rPr>
          <w:lang w:val="en-AU"/>
        </w:rPr>
        <w:t xml:space="preserve">Since the topic on beam specific PC is tightly connected to beam management it is essential to design the PC framework with the beam management framework in mind. </w:t>
      </w:r>
      <w:r w:rsidR="0043084A">
        <w:t>In RAN1#90 (Prague), the following agreement was made related to DL beam indication for PDSCH:</w:t>
      </w:r>
    </w:p>
    <w:p w14:paraId="4287D660" w14:textId="77777777" w:rsidR="0043084A" w:rsidRDefault="0043084A" w:rsidP="0043084A">
      <w:r>
        <w:rPr>
          <w:noProof/>
          <w:lang w:val="en-US" w:eastAsia="en-US"/>
        </w:rPr>
        <w:lastRenderedPageBreak/>
        <mc:AlternateContent>
          <mc:Choice Requires="wps">
            <w:drawing>
              <wp:inline distT="0" distB="0" distL="0" distR="0" wp14:anchorId="2BCF77E2" wp14:editId="5136DA37">
                <wp:extent cx="5943600" cy="1543306"/>
                <wp:effectExtent l="0" t="0" r="12700" b="17145"/>
                <wp:docPr id="9" name="Text Box 9"/>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B880BC" w14:textId="77777777" w:rsidR="0043084A" w:rsidRPr="00080193" w:rsidRDefault="0043084A" w:rsidP="0043084A">
                            <w:pPr>
                              <w:spacing w:after="0" w:line="259" w:lineRule="auto"/>
                              <w:rPr>
                                <w:rFonts w:eastAsia="MS Mincho"/>
                                <w:b/>
                                <w:u w:val="single"/>
                                <w:lang w:eastAsia="ja-JP"/>
                              </w:rPr>
                            </w:pPr>
                            <w:r>
                              <w:rPr>
                                <w:rFonts w:eastAsia="MS Mincho" w:hint="eastAsia"/>
                                <w:b/>
                                <w:highlight w:val="green"/>
                                <w:u w:val="single"/>
                                <w:lang w:eastAsia="ja-JP"/>
                              </w:rPr>
                              <w:t>Agreement #</w:t>
                            </w:r>
                            <w:r>
                              <w:rPr>
                                <w:rFonts w:eastAsia="MS Mincho"/>
                                <w:b/>
                                <w:highlight w:val="green"/>
                                <w:u w:val="single"/>
                                <w:lang w:eastAsia="ja-JP"/>
                              </w:rPr>
                              <w:t>1</w:t>
                            </w:r>
                            <w:r w:rsidRPr="00080193">
                              <w:rPr>
                                <w:rFonts w:eastAsia="MS Mincho" w:hint="eastAsia"/>
                                <w:b/>
                                <w:highlight w:val="green"/>
                                <w:u w:val="single"/>
                                <w:lang w:eastAsia="ja-JP"/>
                              </w:rPr>
                              <w:t>:</w:t>
                            </w:r>
                          </w:p>
                          <w:p w14:paraId="0D2F8324" w14:textId="77777777" w:rsidR="0043084A" w:rsidRPr="00746A24" w:rsidRDefault="0043084A" w:rsidP="0043084A">
                            <w:pPr>
                              <w:numPr>
                                <w:ilvl w:val="0"/>
                                <w:numId w:val="16"/>
                              </w:numPr>
                              <w:overflowPunct/>
                              <w:autoSpaceDE/>
                              <w:autoSpaceDN/>
                              <w:adjustRightInd/>
                              <w:spacing w:after="0" w:line="259" w:lineRule="auto"/>
                              <w:jc w:val="left"/>
                              <w:textAlignment w:val="auto"/>
                            </w:pPr>
                            <w:r w:rsidRPr="00746A24">
                              <w:t xml:space="preserve">For the purposes of beam indication for at least NR unicast PDSCH, support an </w:t>
                            </w:r>
                            <w:r w:rsidRPr="006823C7">
                              <w:rPr>
                                <w:highlight w:val="yellow"/>
                              </w:rPr>
                              <w:t>N-bit indicator field in DCI</w:t>
                            </w:r>
                            <w:r w:rsidRPr="00746A24">
                              <w:t xml:space="preserve"> which provides a reference to a DL RS which is spatially </w:t>
                            </w:r>
                            <w:proofErr w:type="spellStart"/>
                            <w:r w:rsidRPr="00746A24">
                              <w:t>QCL’d</w:t>
                            </w:r>
                            <w:proofErr w:type="spellEnd"/>
                            <w:r w:rsidRPr="00746A24">
                              <w:t xml:space="preserve"> with at least one PDSCH DMRS port group</w:t>
                            </w:r>
                          </w:p>
                          <w:p w14:paraId="72C6C38F" w14:textId="77777777" w:rsidR="0043084A" w:rsidRPr="00746A24" w:rsidRDefault="0043084A" w:rsidP="0043084A">
                            <w:pPr>
                              <w:numPr>
                                <w:ilvl w:val="1"/>
                                <w:numId w:val="16"/>
                              </w:numPr>
                              <w:overflowPunct/>
                              <w:autoSpaceDE/>
                              <w:autoSpaceDN/>
                              <w:adjustRightInd/>
                              <w:spacing w:after="0" w:line="259" w:lineRule="auto"/>
                              <w:jc w:val="left"/>
                              <w:textAlignment w:val="auto"/>
                            </w:pPr>
                            <w:r w:rsidRPr="00746A24">
                              <w:t xml:space="preserve">An indicator state is associated with at least one index of a DL RS (e.g., CRI, SSB Index) where each index of downlink RS can be associated with a given DL RS type,  e.g., aperiodic CSI-RS, periodic CSI-RS, semi-persistent CSI-RS, or SSB, </w:t>
                            </w:r>
                          </w:p>
                          <w:p w14:paraId="4E4929BA" w14:textId="77777777" w:rsidR="0043084A" w:rsidRPr="00746A24" w:rsidRDefault="0043084A" w:rsidP="0043084A">
                            <w:pPr>
                              <w:numPr>
                                <w:ilvl w:val="2"/>
                                <w:numId w:val="16"/>
                              </w:numPr>
                              <w:overflowPunct/>
                              <w:autoSpaceDE/>
                              <w:autoSpaceDN/>
                              <w:adjustRightInd/>
                              <w:spacing w:after="0" w:line="259" w:lineRule="auto"/>
                              <w:jc w:val="left"/>
                              <w:textAlignment w:val="auto"/>
                            </w:pPr>
                            <w:r w:rsidRPr="00746A24">
                              <w:t>Note: L1-RSRP reporting on SSB is not yet agreed</w:t>
                            </w:r>
                          </w:p>
                          <w:p w14:paraId="67D2AA3F" w14:textId="77777777" w:rsidR="0043084A" w:rsidRPr="00746A24" w:rsidRDefault="0043084A" w:rsidP="0043084A">
                            <w:pPr>
                              <w:numPr>
                                <w:ilvl w:val="2"/>
                                <w:numId w:val="16"/>
                              </w:numPr>
                              <w:overflowPunct/>
                              <w:autoSpaceDE/>
                              <w:autoSpaceDN/>
                              <w:adjustRightInd/>
                              <w:spacing w:after="0" w:line="259" w:lineRule="auto"/>
                              <w:jc w:val="left"/>
                              <w:textAlignment w:val="auto"/>
                            </w:pPr>
                            <w:r w:rsidRPr="00746A24">
                              <w:t>Note: One possibility to determine DL CSI-RS type is through the resource setting ID, other options are not precluded</w:t>
                            </w:r>
                          </w:p>
                          <w:p w14:paraId="17DA1F63" w14:textId="77777777" w:rsidR="0043084A" w:rsidRPr="00746A24" w:rsidRDefault="0043084A" w:rsidP="0043084A">
                            <w:pPr>
                              <w:numPr>
                                <w:ilvl w:val="1"/>
                                <w:numId w:val="16"/>
                              </w:numPr>
                              <w:overflowPunct/>
                              <w:autoSpaceDE/>
                              <w:autoSpaceDN/>
                              <w:adjustRightInd/>
                              <w:spacing w:after="0" w:line="259" w:lineRule="auto"/>
                              <w:jc w:val="left"/>
                              <w:textAlignment w:val="auto"/>
                            </w:pPr>
                            <w:r w:rsidRPr="00746A24">
                              <w:t>The value of N is FFS, but is at most [3] bits</w:t>
                            </w:r>
                          </w:p>
                          <w:p w14:paraId="25F2CD0B" w14:textId="77777777" w:rsidR="0043084A" w:rsidRPr="00746A24" w:rsidRDefault="0043084A" w:rsidP="0043084A">
                            <w:pPr>
                              <w:numPr>
                                <w:ilvl w:val="1"/>
                                <w:numId w:val="16"/>
                              </w:numPr>
                              <w:overflowPunct/>
                              <w:autoSpaceDE/>
                              <w:autoSpaceDN/>
                              <w:adjustRightInd/>
                              <w:spacing w:after="0" w:line="259" w:lineRule="auto"/>
                              <w:jc w:val="left"/>
                              <w:textAlignment w:val="auto"/>
                            </w:pPr>
                            <w:r w:rsidRPr="00746A24">
                              <w:t>FFS: The case of more than one DMRS port group</w:t>
                            </w:r>
                          </w:p>
                          <w:p w14:paraId="6EB0DBAF" w14:textId="77777777" w:rsidR="0043084A" w:rsidRPr="00746A24" w:rsidRDefault="0043084A" w:rsidP="0043084A">
                            <w:pPr>
                              <w:numPr>
                                <w:ilvl w:val="1"/>
                                <w:numId w:val="16"/>
                              </w:numPr>
                              <w:overflowPunct/>
                              <w:autoSpaceDE/>
                              <w:autoSpaceDN/>
                              <w:adjustRightInd/>
                              <w:spacing w:after="0" w:line="259" w:lineRule="auto"/>
                              <w:jc w:val="left"/>
                              <w:textAlignment w:val="auto"/>
                            </w:pPr>
                            <w:r w:rsidRPr="00746A24">
                              <w:t xml:space="preserve">FFS: Whether or not to indicate more than one beam indicator, NR strive to minimize the indicator overhead </w:t>
                            </w:r>
                          </w:p>
                          <w:p w14:paraId="11E8CDBA" w14:textId="77777777" w:rsidR="0043084A" w:rsidRPr="00CA492E" w:rsidRDefault="0043084A" w:rsidP="0043084A">
                            <w:pPr>
                              <w:numPr>
                                <w:ilvl w:val="0"/>
                                <w:numId w:val="16"/>
                              </w:numPr>
                              <w:overflowPunct/>
                              <w:autoSpaceDE/>
                              <w:autoSpaceDN/>
                              <w:adjustRightInd/>
                              <w:spacing w:after="0" w:line="259" w:lineRule="auto"/>
                              <w:jc w:val="left"/>
                              <w:textAlignment w:val="auto"/>
                              <w:rPr>
                                <w:highlight w:val="yellow"/>
                              </w:rPr>
                            </w:pPr>
                            <w:r w:rsidRPr="00CA492E">
                              <w:rPr>
                                <w:highlight w:val="yellow"/>
                              </w:rPr>
                              <w:t xml:space="preserve">FFS: Signalling mechanism for the association of a DL RS index (e.g., CRI, SSB index) to an indicator state, e.g., </w:t>
                            </w:r>
                          </w:p>
                          <w:p w14:paraId="2B290381" w14:textId="77777777" w:rsidR="0043084A" w:rsidRPr="00CA492E" w:rsidRDefault="0043084A" w:rsidP="0043084A">
                            <w:pPr>
                              <w:numPr>
                                <w:ilvl w:val="1"/>
                                <w:numId w:val="16"/>
                              </w:numPr>
                              <w:overflowPunct/>
                              <w:autoSpaceDE/>
                              <w:autoSpaceDN/>
                              <w:adjustRightInd/>
                              <w:spacing w:after="0" w:line="259" w:lineRule="auto"/>
                              <w:jc w:val="left"/>
                              <w:textAlignment w:val="auto"/>
                              <w:rPr>
                                <w:highlight w:val="yellow"/>
                              </w:rPr>
                            </w:pPr>
                            <w:r w:rsidRPr="00CA492E">
                              <w:rPr>
                                <w:highlight w:val="yellow"/>
                              </w:rPr>
                              <w:t xml:space="preserve">The association is explicitly </w:t>
                            </w:r>
                            <w:proofErr w:type="spellStart"/>
                            <w:r w:rsidRPr="00CA492E">
                              <w:rPr>
                                <w:highlight w:val="yellow"/>
                              </w:rPr>
                              <w:t>signaled</w:t>
                            </w:r>
                            <w:proofErr w:type="spellEnd"/>
                            <w:r w:rsidRPr="00CA492E">
                              <w:rPr>
                                <w:highlight w:val="yellow"/>
                              </w:rPr>
                              <w:t xml:space="preserve"> to the UE</w:t>
                            </w:r>
                          </w:p>
                          <w:p w14:paraId="5F7848C6" w14:textId="77777777" w:rsidR="0043084A" w:rsidRPr="00CA492E" w:rsidRDefault="0043084A" w:rsidP="0043084A">
                            <w:pPr>
                              <w:numPr>
                                <w:ilvl w:val="1"/>
                                <w:numId w:val="16"/>
                              </w:numPr>
                              <w:overflowPunct/>
                              <w:autoSpaceDE/>
                              <w:autoSpaceDN/>
                              <w:adjustRightInd/>
                              <w:spacing w:after="0" w:line="259" w:lineRule="auto"/>
                              <w:jc w:val="left"/>
                              <w:textAlignment w:val="auto"/>
                              <w:rPr>
                                <w:highlight w:val="yellow"/>
                              </w:rPr>
                            </w:pPr>
                            <w:r w:rsidRPr="00CA492E">
                              <w:rPr>
                                <w:highlight w:val="yellow"/>
                              </w:rPr>
                              <w:t>The association is implicitly determined by the UE</w:t>
                            </w:r>
                          </w:p>
                          <w:p w14:paraId="75D320C7" w14:textId="7369EF5C" w:rsidR="0043084A" w:rsidRPr="0043084A" w:rsidRDefault="0043084A" w:rsidP="0043084A">
                            <w:pPr>
                              <w:numPr>
                                <w:ilvl w:val="1"/>
                                <w:numId w:val="16"/>
                              </w:numPr>
                              <w:overflowPunct/>
                              <w:autoSpaceDE/>
                              <w:autoSpaceDN/>
                              <w:adjustRightInd/>
                              <w:spacing w:after="0" w:line="259" w:lineRule="auto"/>
                              <w:jc w:val="left"/>
                              <w:textAlignment w:val="auto"/>
                              <w:rPr>
                                <w:highlight w:val="yellow"/>
                              </w:rPr>
                            </w:pPr>
                            <w:r w:rsidRPr="00CA492E">
                              <w:rPr>
                                <w:highlight w:val="yellow"/>
                              </w:rPr>
                              <w:t>Combination of the above is not precluded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BCF77E2" id="_x0000_t202" coordsize="21600,21600" o:spt="202" path="m,l,21600r21600,l21600,xe">
                <v:stroke joinstyle="miter"/>
                <v:path gradientshapeok="t" o:connecttype="rect"/>
              </v:shapetype>
              <v:shape id="Text Box 9"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n+YMKZQCAACzBQAADgAAAAAAAAAAAAAAAAAuAgAAZHJzL2Uyb0RvYy54bWxQ&#10;SwECLQAUAAYACAAAACEA5EsrVdwAAAAFAQAADwAAAAAAAAAAAAAAAADuBAAAZHJzL2Rvd25yZXYu&#10;eG1sUEsFBgAAAAAEAAQA8wAAAPcFAAAAAA==&#10;" fillcolor="white [3201]" strokeweight=".5pt">
                <v:textbox style="mso-fit-shape-to-text:t">
                  <w:txbxContent>
                    <w:p w14:paraId="3CB880BC" w14:textId="77777777" w:rsidR="0043084A" w:rsidRPr="00080193" w:rsidRDefault="0043084A" w:rsidP="0043084A">
                      <w:pPr>
                        <w:spacing w:after="0" w:line="259" w:lineRule="auto"/>
                        <w:rPr>
                          <w:rFonts w:eastAsia="MS Mincho"/>
                          <w:b/>
                          <w:u w:val="single"/>
                          <w:lang w:eastAsia="ja-JP"/>
                        </w:rPr>
                      </w:pPr>
                      <w:r>
                        <w:rPr>
                          <w:rFonts w:eastAsia="MS Mincho" w:hint="eastAsia"/>
                          <w:b/>
                          <w:highlight w:val="green"/>
                          <w:u w:val="single"/>
                          <w:lang w:eastAsia="ja-JP"/>
                        </w:rPr>
                        <w:t>Agreement #</w:t>
                      </w:r>
                      <w:r>
                        <w:rPr>
                          <w:rFonts w:eastAsia="MS Mincho"/>
                          <w:b/>
                          <w:highlight w:val="green"/>
                          <w:u w:val="single"/>
                          <w:lang w:eastAsia="ja-JP"/>
                        </w:rPr>
                        <w:t>1</w:t>
                      </w:r>
                      <w:r w:rsidRPr="00080193">
                        <w:rPr>
                          <w:rFonts w:eastAsia="MS Mincho" w:hint="eastAsia"/>
                          <w:b/>
                          <w:highlight w:val="green"/>
                          <w:u w:val="single"/>
                          <w:lang w:eastAsia="ja-JP"/>
                        </w:rPr>
                        <w:t>:</w:t>
                      </w:r>
                    </w:p>
                    <w:p w14:paraId="0D2F8324" w14:textId="77777777" w:rsidR="0043084A" w:rsidRPr="00746A24" w:rsidRDefault="0043084A" w:rsidP="0043084A">
                      <w:pPr>
                        <w:numPr>
                          <w:ilvl w:val="0"/>
                          <w:numId w:val="16"/>
                        </w:numPr>
                        <w:overflowPunct/>
                        <w:autoSpaceDE/>
                        <w:autoSpaceDN/>
                        <w:adjustRightInd/>
                        <w:spacing w:after="0" w:line="259" w:lineRule="auto"/>
                        <w:jc w:val="left"/>
                        <w:textAlignment w:val="auto"/>
                      </w:pPr>
                      <w:r w:rsidRPr="00746A24">
                        <w:t xml:space="preserve">For the purposes of beam indication for at least NR unicast PDSCH, support an </w:t>
                      </w:r>
                      <w:r w:rsidRPr="006823C7">
                        <w:rPr>
                          <w:highlight w:val="yellow"/>
                        </w:rPr>
                        <w:t>N-bit indicator field in DCI</w:t>
                      </w:r>
                      <w:r w:rsidRPr="00746A24">
                        <w:t xml:space="preserve"> which provides a reference to a DL RS which is spatially </w:t>
                      </w:r>
                      <w:proofErr w:type="spellStart"/>
                      <w:r w:rsidRPr="00746A24">
                        <w:t>QCL’d</w:t>
                      </w:r>
                      <w:proofErr w:type="spellEnd"/>
                      <w:r w:rsidRPr="00746A24">
                        <w:t xml:space="preserve"> with at least one PDSCH DMRS port group</w:t>
                      </w:r>
                    </w:p>
                    <w:p w14:paraId="72C6C38F" w14:textId="77777777" w:rsidR="0043084A" w:rsidRPr="00746A24" w:rsidRDefault="0043084A" w:rsidP="0043084A">
                      <w:pPr>
                        <w:numPr>
                          <w:ilvl w:val="1"/>
                          <w:numId w:val="16"/>
                        </w:numPr>
                        <w:overflowPunct/>
                        <w:autoSpaceDE/>
                        <w:autoSpaceDN/>
                        <w:adjustRightInd/>
                        <w:spacing w:after="0" w:line="259" w:lineRule="auto"/>
                        <w:jc w:val="left"/>
                        <w:textAlignment w:val="auto"/>
                      </w:pPr>
                      <w:r w:rsidRPr="00746A24">
                        <w:t xml:space="preserve">An indicator state is associated with at least one index of a DL RS (e.g., CRI, SSB Index) where each index of downlink RS can be associated with a given DL RS type,  e.g., aperiodic CSI-RS, periodic CSI-RS, semi-persistent CSI-RS, or SSB, </w:t>
                      </w:r>
                    </w:p>
                    <w:p w14:paraId="4E4929BA" w14:textId="77777777" w:rsidR="0043084A" w:rsidRPr="00746A24" w:rsidRDefault="0043084A" w:rsidP="0043084A">
                      <w:pPr>
                        <w:numPr>
                          <w:ilvl w:val="2"/>
                          <w:numId w:val="16"/>
                        </w:numPr>
                        <w:overflowPunct/>
                        <w:autoSpaceDE/>
                        <w:autoSpaceDN/>
                        <w:adjustRightInd/>
                        <w:spacing w:after="0" w:line="259" w:lineRule="auto"/>
                        <w:jc w:val="left"/>
                        <w:textAlignment w:val="auto"/>
                      </w:pPr>
                      <w:r w:rsidRPr="00746A24">
                        <w:t>Note: L1-RSRP reporting on SSB is not yet agreed</w:t>
                      </w:r>
                    </w:p>
                    <w:p w14:paraId="67D2AA3F" w14:textId="77777777" w:rsidR="0043084A" w:rsidRPr="00746A24" w:rsidRDefault="0043084A" w:rsidP="0043084A">
                      <w:pPr>
                        <w:numPr>
                          <w:ilvl w:val="2"/>
                          <w:numId w:val="16"/>
                        </w:numPr>
                        <w:overflowPunct/>
                        <w:autoSpaceDE/>
                        <w:autoSpaceDN/>
                        <w:adjustRightInd/>
                        <w:spacing w:after="0" w:line="259" w:lineRule="auto"/>
                        <w:jc w:val="left"/>
                        <w:textAlignment w:val="auto"/>
                      </w:pPr>
                      <w:r w:rsidRPr="00746A24">
                        <w:t>Note: One possibility to determine DL CSI-RS type is through the resource setting ID, other options are not precluded</w:t>
                      </w:r>
                    </w:p>
                    <w:p w14:paraId="17DA1F63" w14:textId="77777777" w:rsidR="0043084A" w:rsidRPr="00746A24" w:rsidRDefault="0043084A" w:rsidP="0043084A">
                      <w:pPr>
                        <w:numPr>
                          <w:ilvl w:val="1"/>
                          <w:numId w:val="16"/>
                        </w:numPr>
                        <w:overflowPunct/>
                        <w:autoSpaceDE/>
                        <w:autoSpaceDN/>
                        <w:adjustRightInd/>
                        <w:spacing w:after="0" w:line="259" w:lineRule="auto"/>
                        <w:jc w:val="left"/>
                        <w:textAlignment w:val="auto"/>
                      </w:pPr>
                      <w:r w:rsidRPr="00746A24">
                        <w:t>The value of N is FFS, but is at most [3] bits</w:t>
                      </w:r>
                    </w:p>
                    <w:p w14:paraId="25F2CD0B" w14:textId="77777777" w:rsidR="0043084A" w:rsidRPr="00746A24" w:rsidRDefault="0043084A" w:rsidP="0043084A">
                      <w:pPr>
                        <w:numPr>
                          <w:ilvl w:val="1"/>
                          <w:numId w:val="16"/>
                        </w:numPr>
                        <w:overflowPunct/>
                        <w:autoSpaceDE/>
                        <w:autoSpaceDN/>
                        <w:adjustRightInd/>
                        <w:spacing w:after="0" w:line="259" w:lineRule="auto"/>
                        <w:jc w:val="left"/>
                        <w:textAlignment w:val="auto"/>
                      </w:pPr>
                      <w:r w:rsidRPr="00746A24">
                        <w:t>FFS: The case of more than one DMRS port group</w:t>
                      </w:r>
                    </w:p>
                    <w:p w14:paraId="6EB0DBAF" w14:textId="77777777" w:rsidR="0043084A" w:rsidRPr="00746A24" w:rsidRDefault="0043084A" w:rsidP="0043084A">
                      <w:pPr>
                        <w:numPr>
                          <w:ilvl w:val="1"/>
                          <w:numId w:val="16"/>
                        </w:numPr>
                        <w:overflowPunct/>
                        <w:autoSpaceDE/>
                        <w:autoSpaceDN/>
                        <w:adjustRightInd/>
                        <w:spacing w:after="0" w:line="259" w:lineRule="auto"/>
                        <w:jc w:val="left"/>
                        <w:textAlignment w:val="auto"/>
                      </w:pPr>
                      <w:r w:rsidRPr="00746A24">
                        <w:t xml:space="preserve">FFS: Whether or not to indicate more than one beam indicator, NR strive to minimize the indicator overhead </w:t>
                      </w:r>
                    </w:p>
                    <w:p w14:paraId="11E8CDBA" w14:textId="77777777" w:rsidR="0043084A" w:rsidRPr="00CA492E" w:rsidRDefault="0043084A" w:rsidP="0043084A">
                      <w:pPr>
                        <w:numPr>
                          <w:ilvl w:val="0"/>
                          <w:numId w:val="16"/>
                        </w:numPr>
                        <w:overflowPunct/>
                        <w:autoSpaceDE/>
                        <w:autoSpaceDN/>
                        <w:adjustRightInd/>
                        <w:spacing w:after="0" w:line="259" w:lineRule="auto"/>
                        <w:jc w:val="left"/>
                        <w:textAlignment w:val="auto"/>
                        <w:rPr>
                          <w:highlight w:val="yellow"/>
                        </w:rPr>
                      </w:pPr>
                      <w:r w:rsidRPr="00CA492E">
                        <w:rPr>
                          <w:highlight w:val="yellow"/>
                        </w:rPr>
                        <w:t xml:space="preserve">FFS: Signalling mechanism for the association of a DL RS index (e.g., CRI, SSB index) to an indicator state, e.g., </w:t>
                      </w:r>
                    </w:p>
                    <w:p w14:paraId="2B290381" w14:textId="77777777" w:rsidR="0043084A" w:rsidRPr="00CA492E" w:rsidRDefault="0043084A" w:rsidP="0043084A">
                      <w:pPr>
                        <w:numPr>
                          <w:ilvl w:val="1"/>
                          <w:numId w:val="16"/>
                        </w:numPr>
                        <w:overflowPunct/>
                        <w:autoSpaceDE/>
                        <w:autoSpaceDN/>
                        <w:adjustRightInd/>
                        <w:spacing w:after="0" w:line="259" w:lineRule="auto"/>
                        <w:jc w:val="left"/>
                        <w:textAlignment w:val="auto"/>
                        <w:rPr>
                          <w:highlight w:val="yellow"/>
                        </w:rPr>
                      </w:pPr>
                      <w:r w:rsidRPr="00CA492E">
                        <w:rPr>
                          <w:highlight w:val="yellow"/>
                        </w:rPr>
                        <w:t xml:space="preserve">The association is explicitly </w:t>
                      </w:r>
                      <w:proofErr w:type="spellStart"/>
                      <w:r w:rsidRPr="00CA492E">
                        <w:rPr>
                          <w:highlight w:val="yellow"/>
                        </w:rPr>
                        <w:t>signaled</w:t>
                      </w:r>
                      <w:proofErr w:type="spellEnd"/>
                      <w:r w:rsidRPr="00CA492E">
                        <w:rPr>
                          <w:highlight w:val="yellow"/>
                        </w:rPr>
                        <w:t xml:space="preserve"> to the UE</w:t>
                      </w:r>
                    </w:p>
                    <w:p w14:paraId="5F7848C6" w14:textId="77777777" w:rsidR="0043084A" w:rsidRPr="00CA492E" w:rsidRDefault="0043084A" w:rsidP="0043084A">
                      <w:pPr>
                        <w:numPr>
                          <w:ilvl w:val="1"/>
                          <w:numId w:val="16"/>
                        </w:numPr>
                        <w:overflowPunct/>
                        <w:autoSpaceDE/>
                        <w:autoSpaceDN/>
                        <w:adjustRightInd/>
                        <w:spacing w:after="0" w:line="259" w:lineRule="auto"/>
                        <w:jc w:val="left"/>
                        <w:textAlignment w:val="auto"/>
                        <w:rPr>
                          <w:highlight w:val="yellow"/>
                        </w:rPr>
                      </w:pPr>
                      <w:r w:rsidRPr="00CA492E">
                        <w:rPr>
                          <w:highlight w:val="yellow"/>
                        </w:rPr>
                        <w:t>The association is implicitly determined by the UE</w:t>
                      </w:r>
                    </w:p>
                    <w:p w14:paraId="75D320C7" w14:textId="7369EF5C" w:rsidR="0043084A" w:rsidRPr="0043084A" w:rsidRDefault="0043084A" w:rsidP="0043084A">
                      <w:pPr>
                        <w:numPr>
                          <w:ilvl w:val="1"/>
                          <w:numId w:val="16"/>
                        </w:numPr>
                        <w:overflowPunct/>
                        <w:autoSpaceDE/>
                        <w:autoSpaceDN/>
                        <w:adjustRightInd/>
                        <w:spacing w:after="0" w:line="259" w:lineRule="auto"/>
                        <w:jc w:val="left"/>
                        <w:textAlignment w:val="auto"/>
                        <w:rPr>
                          <w:highlight w:val="yellow"/>
                        </w:rPr>
                      </w:pPr>
                      <w:r w:rsidRPr="00CA492E">
                        <w:rPr>
                          <w:highlight w:val="yellow"/>
                        </w:rPr>
                        <w:t>Combination of the above is not precluded</w:t>
                      </w:r>
                    </w:p>
                  </w:txbxContent>
                </v:textbox>
                <w10:anchorlock/>
              </v:shape>
            </w:pict>
          </mc:Fallback>
        </mc:AlternateContent>
      </w:r>
    </w:p>
    <w:p w14:paraId="7E81E0FF" w14:textId="0C5F54C7" w:rsidR="00EB1564" w:rsidRDefault="0043084A" w:rsidP="00EB1564">
      <w:r>
        <w:t>This agreement</w:t>
      </w:r>
      <w:r w:rsidRPr="00A0767D">
        <w:t xml:space="preserve"> establishes that an N-bit indicator field in DCI </w:t>
      </w:r>
      <w:r>
        <w:t xml:space="preserve">provides at least a spatial QCL reference to a DL RS (either CSI-RS or SSB) to aid in the demodulation of PDSCH. A given value of the indicator is referred to as an indicator state, and it is associated with an index of the DL RS (CRI or SSB Index). In the case of CSI-RS, the resource can be periodic, semi-persistent, or aperiodic. In this agreement, it is FFS how the DL RS index is associated with the indicator state, either through explicit signalling or implicitly during a UE measurement. </w:t>
      </w:r>
    </w:p>
    <w:p w14:paraId="467FCF9C" w14:textId="243628F4" w:rsidR="0043084A" w:rsidRPr="00EB1564" w:rsidRDefault="00EB1564" w:rsidP="00EB1564">
      <w:r>
        <w:t xml:space="preserve">Clearly, the functionality supported by the N-bit indicator is analogous to PQI in LTE which is used for the purposes of QCL and PDSCH rate matching indication in DCI format 2D supporting </w:t>
      </w:r>
      <w:proofErr w:type="spellStart"/>
      <w:r>
        <w:t>CoMP</w:t>
      </w:r>
      <w:proofErr w:type="spellEnd"/>
      <w:r>
        <w:t xml:space="preserve"> operation. One point of difference, however, is that for NR it is not clear that it is necessary to signal PDSCH rate matching parameters in the same way. Furthermore, the indicator is not limited to the case of multi-TRP (</w:t>
      </w:r>
      <w:proofErr w:type="spellStart"/>
      <w:r>
        <w:t>CoMP</w:t>
      </w:r>
      <w:proofErr w:type="spellEnd"/>
      <w:r>
        <w:t xml:space="preserve">) operation. Dynamic (spatial) QCL indication is beneficial even for single TRP </w:t>
      </w:r>
      <w:proofErr w:type="spellStart"/>
      <w:r>
        <w:t>mmWave</w:t>
      </w:r>
      <w:proofErr w:type="spellEnd"/>
      <w:r>
        <w:t xml:space="preserve"> operation. Hence, we propose adopting a more general term for the N-bit indicator, namely Transmission Configuration Indicator (TCI) to capture the notion that the QCL configuration for a PDSCH transmission is indicated dynamically.</w:t>
      </w:r>
    </w:p>
    <w:p w14:paraId="304C73BB" w14:textId="79955A8B" w:rsidR="0043084A" w:rsidRDefault="0043084A" w:rsidP="0043084A">
      <w:pPr>
        <w:pStyle w:val="KeyProposal"/>
        <w:numPr>
          <w:ilvl w:val="0"/>
          <w:numId w:val="0"/>
        </w:numPr>
        <w:rPr>
          <w:b w:val="0"/>
          <w:bCs w:val="0"/>
        </w:rPr>
      </w:pPr>
      <w:r>
        <w:rPr>
          <w:b w:val="0"/>
          <w:bCs w:val="0"/>
        </w:rPr>
        <w:fldChar w:fldCharType="begin"/>
      </w:r>
      <w:r>
        <w:rPr>
          <w:b w:val="0"/>
          <w:bCs w:val="0"/>
        </w:rPr>
        <w:instrText xml:space="preserve"> REF _Ref492567644 \h </w:instrText>
      </w:r>
      <w:r>
        <w:rPr>
          <w:b w:val="0"/>
          <w:bCs w:val="0"/>
        </w:rPr>
      </w:r>
      <w:r>
        <w:rPr>
          <w:b w:val="0"/>
          <w:bCs w:val="0"/>
        </w:rPr>
        <w:fldChar w:fldCharType="separate"/>
      </w:r>
      <w:r>
        <w:t xml:space="preserve">Figure </w:t>
      </w:r>
      <w:r>
        <w:rPr>
          <w:noProof/>
        </w:rPr>
        <w:t>1</w:t>
      </w:r>
      <w:r>
        <w:rPr>
          <w:b w:val="0"/>
          <w:bCs w:val="0"/>
        </w:rPr>
        <w:fldChar w:fldCharType="end"/>
      </w:r>
      <w:r>
        <w:rPr>
          <w:b w:val="0"/>
          <w:bCs w:val="0"/>
        </w:rPr>
        <w:t xml:space="preserve"> shows an exemplary set of TCI states that may be RRC configured to a UE. With N-bits, up to 2</w:t>
      </w:r>
      <w:r w:rsidRPr="005430E3">
        <w:rPr>
          <w:b w:val="0"/>
          <w:bCs w:val="0"/>
          <w:vertAlign w:val="superscript"/>
        </w:rPr>
        <w:t>N</w:t>
      </w:r>
      <w:r>
        <w:rPr>
          <w:b w:val="0"/>
          <w:bCs w:val="0"/>
        </w:rPr>
        <w:t xml:space="preserve"> TCI states may be defined, some containing a single RS set and others containing multiple RS sets to support multi-TRP operation. In the case of basic single TRP operation, all TCI states would contain only a single RS set. A default TCI state is also shown which may be used, for example, for QCL indication referring to the SSB beam index determined by the UE during initial access. As discussed previously, different TCI states may be used for QCL indication referring to different RS types, i.e., SSB, periodic, semi-persistent, or aperiodic CSI-RS. It is up to the network implementation to configure the states depending on what mix of DL RSs are used for beam management.</w:t>
      </w:r>
      <w:r w:rsidR="00EB1564">
        <w:rPr>
          <w:b w:val="0"/>
          <w:bCs w:val="0"/>
        </w:rPr>
        <w:t xml:space="preserve"> For more details on this framework we refer to our paper </w:t>
      </w:r>
      <w:r w:rsidR="00EB1564" w:rsidRPr="00A97502">
        <w:rPr>
          <w:b w:val="0"/>
          <w:bCs w:val="0"/>
        </w:rPr>
        <w:t>[</w:t>
      </w:r>
      <w:r w:rsidR="00A97502" w:rsidRPr="00A97502">
        <w:rPr>
          <w:b w:val="0"/>
          <w:bCs w:val="0"/>
        </w:rPr>
        <w:t>1</w:t>
      </w:r>
      <w:r w:rsidR="00EB1564" w:rsidRPr="00A97502">
        <w:rPr>
          <w:b w:val="0"/>
          <w:bCs w:val="0"/>
        </w:rPr>
        <w:t>]</w:t>
      </w:r>
      <w:r w:rsidR="00EB1564">
        <w:rPr>
          <w:b w:val="0"/>
          <w:bCs w:val="0"/>
        </w:rPr>
        <w:t xml:space="preserve">. </w:t>
      </w:r>
    </w:p>
    <w:p w14:paraId="0000A188" w14:textId="77777777" w:rsidR="0043084A" w:rsidRDefault="0043084A" w:rsidP="0043084A">
      <w:pPr>
        <w:pStyle w:val="KeyProposal"/>
        <w:keepNext/>
        <w:numPr>
          <w:ilvl w:val="0"/>
          <w:numId w:val="0"/>
        </w:numPr>
        <w:jc w:val="center"/>
      </w:pPr>
      <w:r>
        <w:rPr>
          <w:noProof/>
          <w:lang w:val="en-US" w:eastAsia="en-US"/>
        </w:rPr>
        <w:drawing>
          <wp:inline distT="0" distB="0" distL="0" distR="0" wp14:anchorId="224FDF65" wp14:editId="6D39FCD5">
            <wp:extent cx="4572000" cy="1408176"/>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0" cy="1408176"/>
                    </a:xfrm>
                    <a:prstGeom prst="rect">
                      <a:avLst/>
                    </a:prstGeom>
                    <a:noFill/>
                  </pic:spPr>
                </pic:pic>
              </a:graphicData>
            </a:graphic>
          </wp:inline>
        </w:drawing>
      </w:r>
    </w:p>
    <w:p w14:paraId="334194A8" w14:textId="40510143" w:rsidR="0043084A" w:rsidRDefault="0043084A" w:rsidP="0043084A">
      <w:pPr>
        <w:pStyle w:val="Caption"/>
      </w:pPr>
      <w:bookmarkStart w:id="1" w:name="_Ref492567644"/>
      <w:r>
        <w:t xml:space="preserve">Figure </w:t>
      </w:r>
      <w:r>
        <w:fldChar w:fldCharType="begin"/>
      </w:r>
      <w:r>
        <w:instrText xml:space="preserve"> SEQ Figure \* ARABIC </w:instrText>
      </w:r>
      <w:r>
        <w:fldChar w:fldCharType="separate"/>
      </w:r>
      <w:r>
        <w:rPr>
          <w:noProof/>
        </w:rPr>
        <w:t>1</w:t>
      </w:r>
      <w:r>
        <w:fldChar w:fldCharType="end"/>
      </w:r>
      <w:bookmarkEnd w:id="1"/>
      <w:r>
        <w:t>: TCI states used for QCL indication for PDSCH and PDCCH</w:t>
      </w:r>
    </w:p>
    <w:p w14:paraId="5C8A96C0" w14:textId="4043FC95" w:rsidR="00FF6062" w:rsidRDefault="00EB1564" w:rsidP="00D84AC9">
      <w:r>
        <w:lastRenderedPageBreak/>
        <w:t xml:space="preserve">From a PC perspective, we note that there will exist </w:t>
      </w:r>
      <w:r w:rsidR="007627E0">
        <w:t>a</w:t>
      </w:r>
      <w:r>
        <w:t xml:space="preserve"> framework for connecting a </w:t>
      </w:r>
      <w:r w:rsidR="007627E0">
        <w:rPr>
          <w:lang w:val="en-AU"/>
        </w:rPr>
        <w:t xml:space="preserve">UE TX and </w:t>
      </w:r>
      <w:proofErr w:type="spellStart"/>
      <w:r w:rsidR="007627E0">
        <w:rPr>
          <w:lang w:val="en-AU"/>
        </w:rPr>
        <w:t>gNB</w:t>
      </w:r>
      <w:proofErr w:type="spellEnd"/>
      <w:r w:rsidR="007627E0">
        <w:rPr>
          <w:lang w:val="en-AU"/>
        </w:rPr>
        <w:t xml:space="preserve"> RX beam pair </w:t>
      </w:r>
      <w:r>
        <w:t xml:space="preserve">to a RS as well as a way to communicate this indicator state to </w:t>
      </w:r>
      <w:r w:rsidR="007627E0">
        <w:t xml:space="preserve">the </w:t>
      </w:r>
      <w:r>
        <w:t xml:space="preserve">UE from the </w:t>
      </w:r>
      <w:proofErr w:type="spellStart"/>
      <w:r>
        <w:t>gNB</w:t>
      </w:r>
      <w:proofErr w:type="spellEnd"/>
      <w:r>
        <w:t>. Hence, these two abilities</w:t>
      </w:r>
      <w:r w:rsidR="007627E0">
        <w:t>,</w:t>
      </w:r>
      <w:r w:rsidR="005B0E1C">
        <w:t xml:space="preserve"> introduced in</w:t>
      </w:r>
      <w:r>
        <w:t xml:space="preserve"> beam management</w:t>
      </w:r>
      <w:r w:rsidR="007627E0">
        <w:t>,</w:t>
      </w:r>
      <w:r>
        <w:t xml:space="preserve"> does indeed relate to </w:t>
      </w:r>
      <w:r w:rsidR="007627E0">
        <w:t xml:space="preserve">questions discussed in </w:t>
      </w:r>
      <w:r>
        <w:t>the area of PC.</w:t>
      </w:r>
      <w:r w:rsidR="00D84AC9">
        <w:t xml:space="preserve"> </w:t>
      </w:r>
      <w:r w:rsidR="0043084A">
        <w:t xml:space="preserve">For </w:t>
      </w:r>
      <w:r w:rsidR="00D84AC9">
        <w:t xml:space="preserve">instance, in the case of </w:t>
      </w:r>
      <w:r w:rsidR="0043084A">
        <w:t xml:space="preserve">UEs with </w:t>
      </w:r>
      <w:r w:rsidR="007627E0">
        <w:t xml:space="preserve">beam </w:t>
      </w:r>
      <w:r w:rsidR="0043084A">
        <w:t>correspondence, it makes sense that the UE should transmit in a reciprocal direction to the DL RSs which are used as a spatial QCL reference</w:t>
      </w:r>
      <w:r w:rsidR="00D84AC9">
        <w:t>. H</w:t>
      </w:r>
      <w:r w:rsidR="007627E0">
        <w:t xml:space="preserve">ence, the TCI </w:t>
      </w:r>
      <w:r w:rsidR="00D84AC9">
        <w:t xml:space="preserve">defined and signalled for </w:t>
      </w:r>
      <w:r w:rsidR="007627E0">
        <w:t xml:space="preserve">a </w:t>
      </w:r>
      <w:r w:rsidR="00D84AC9">
        <w:t xml:space="preserve">DL transmission is suitable to reuse also for UL transmission. </w:t>
      </w:r>
      <w:r w:rsidR="005B0E1C">
        <w:t>Thereby</w:t>
      </w:r>
      <w:r w:rsidR="007627E0">
        <w:t xml:space="preserve"> </w:t>
      </w:r>
      <w:r w:rsidR="00D84AC9">
        <w:t xml:space="preserve">it would </w:t>
      </w:r>
      <w:r w:rsidR="007627E0">
        <w:t xml:space="preserve">therefore also </w:t>
      </w:r>
      <w:r w:rsidR="00D84AC9">
        <w:t xml:space="preserve">be beneficial to also attach the beam specific PC framework to </w:t>
      </w:r>
      <w:r w:rsidR="005B0E1C">
        <w:t xml:space="preserve">this </w:t>
      </w:r>
      <w:r w:rsidR="007627E0">
        <w:t xml:space="preserve">TCI; this would </w:t>
      </w:r>
      <w:r w:rsidR="00D84AC9">
        <w:t xml:space="preserve">avoid redundant signalling since the </w:t>
      </w:r>
      <w:r w:rsidR="004C4136">
        <w:t>PC-parameter-set</w:t>
      </w:r>
      <w:r w:rsidR="00D84AC9">
        <w:t xml:space="preserve"> index would be implicitly given by the TCI signalled for </w:t>
      </w:r>
      <w:r w:rsidR="007627E0">
        <w:t>DL and/or UL transmissions</w:t>
      </w:r>
      <w:r w:rsidR="00D84AC9">
        <w:t>.</w:t>
      </w:r>
      <w:r w:rsidR="00FF6062">
        <w:t xml:space="preserve"> Based on this we propose</w:t>
      </w:r>
    </w:p>
    <w:p w14:paraId="70B2CAC6" w14:textId="7C5A7A95" w:rsidR="00F7063A" w:rsidRDefault="00F7063A" w:rsidP="00F7063A">
      <w:pPr>
        <w:pStyle w:val="Proposal"/>
      </w:pPr>
      <w:bookmarkStart w:id="2" w:name="_Toc492915004"/>
      <w:bookmarkStart w:id="3" w:name="_Toc492919824"/>
      <w:bookmarkStart w:id="4" w:name="_Toc492919912"/>
      <w:bookmarkStart w:id="5" w:name="_Hlk492901698"/>
      <w:r>
        <w:t>For PU</w:t>
      </w:r>
      <w:r w:rsidR="00EB3039">
        <w:t>C</w:t>
      </w:r>
      <w:r>
        <w:t xml:space="preserve">CH PC, utilize </w:t>
      </w:r>
      <w:r w:rsidR="00AD76D7">
        <w:t xml:space="preserve">the </w:t>
      </w:r>
      <w:r w:rsidRPr="00F7063A">
        <w:t xml:space="preserve">N-bit indicator field which provides a reference to a DL RS which is spatially </w:t>
      </w:r>
      <w:proofErr w:type="spellStart"/>
      <w:r w:rsidRPr="00F7063A">
        <w:t>QCL’d</w:t>
      </w:r>
      <w:proofErr w:type="spellEnd"/>
      <w:r w:rsidRPr="00F7063A">
        <w:t xml:space="preserve"> with at least one PDSCH DMRS port group</w:t>
      </w:r>
      <w:r>
        <w:t xml:space="preserve"> in order to define a </w:t>
      </w:r>
      <w:r w:rsidR="00EB3039">
        <w:t xml:space="preserve">corresponding </w:t>
      </w:r>
      <w:r>
        <w:t xml:space="preserve">beam specific </w:t>
      </w:r>
      <w:r w:rsidR="004C4136">
        <w:t>PC-parameter-set</w:t>
      </w:r>
      <w:r>
        <w:t xml:space="preserve"> </w:t>
      </w:r>
      <w:bookmarkEnd w:id="2"/>
      <w:bookmarkEnd w:id="3"/>
      <w:bookmarkEnd w:id="4"/>
    </w:p>
    <w:p w14:paraId="33EFA0B6" w14:textId="4E66CB57" w:rsidR="00FF6062" w:rsidRDefault="005B0E1C" w:rsidP="00FF6062">
      <w:pPr>
        <w:pStyle w:val="Proposal"/>
      </w:pPr>
      <w:bookmarkStart w:id="6" w:name="_Toc492919913"/>
      <w:bookmarkStart w:id="7" w:name="_Toc492915005"/>
      <w:bookmarkStart w:id="8" w:name="_Toc492919825"/>
      <w:r>
        <w:t xml:space="preserve">For </w:t>
      </w:r>
      <w:r w:rsidR="00EB3039">
        <w:t xml:space="preserve">a </w:t>
      </w:r>
      <w:r>
        <w:t>PUSCH</w:t>
      </w:r>
      <w:r w:rsidR="00EB3039">
        <w:t xml:space="preserve"> transmission</w:t>
      </w:r>
      <w:r>
        <w:t xml:space="preserve">, </w:t>
      </w:r>
      <w:r w:rsidR="00EB3039">
        <w:t>the</w:t>
      </w:r>
      <w:r w:rsidR="00FF6062">
        <w:t xml:space="preserve"> beam specific </w:t>
      </w:r>
      <w:bookmarkEnd w:id="6"/>
      <w:r w:rsidR="004C4136">
        <w:t>PC-parameter-set</w:t>
      </w:r>
      <w:r w:rsidR="00FF6062">
        <w:t xml:space="preserve"> </w:t>
      </w:r>
      <w:bookmarkEnd w:id="7"/>
      <w:bookmarkEnd w:id="8"/>
      <w:r w:rsidR="00EB3039">
        <w:t>that the UE uses to set its transmit power is determined from the implicit/explicit beam indication provided to the UE for that transmission.</w:t>
      </w:r>
    </w:p>
    <w:p w14:paraId="69CA600B" w14:textId="67F09C44" w:rsidR="006C7633" w:rsidRDefault="00FF6062" w:rsidP="00563833">
      <w:pPr>
        <w:pStyle w:val="Proposal"/>
      </w:pPr>
      <w:bookmarkStart w:id="9" w:name="_Toc492915007"/>
      <w:bookmarkStart w:id="10" w:name="_Toc492919827"/>
      <w:bookmarkStart w:id="11" w:name="_Toc492919915"/>
      <w:r>
        <w:t xml:space="preserve">Reuse </w:t>
      </w:r>
      <w:r w:rsidR="0032071F">
        <w:t xml:space="preserve">the </w:t>
      </w:r>
      <w:r w:rsidR="00AD76D7">
        <w:t xml:space="preserve">implicit/explicit </w:t>
      </w:r>
      <w:r w:rsidR="002E2E91">
        <w:t>beam</w:t>
      </w:r>
      <w:r w:rsidR="00AD76D7">
        <w:t xml:space="preserve"> indication mechanisms </w:t>
      </w:r>
      <w:r w:rsidR="0032071F">
        <w:t xml:space="preserve">defined for beam management purposes for PC purposes as much as possible to avoid specifying redundant </w:t>
      </w:r>
      <w:r w:rsidR="005B0E1C">
        <w:t>signalling</w:t>
      </w:r>
      <w:r w:rsidR="0032071F">
        <w:t>.</w:t>
      </w:r>
      <w:bookmarkEnd w:id="9"/>
      <w:bookmarkEnd w:id="10"/>
      <w:bookmarkEnd w:id="11"/>
      <w:r w:rsidR="0032071F">
        <w:t xml:space="preserve"> </w:t>
      </w:r>
    </w:p>
    <w:bookmarkEnd w:id="5"/>
    <w:p w14:paraId="6AC53E94" w14:textId="7C3FA755" w:rsidR="008E065E" w:rsidRPr="00130E08" w:rsidRDefault="00C01F33" w:rsidP="008E065E">
      <w:pPr>
        <w:pStyle w:val="Heading1"/>
      </w:pPr>
      <w:r w:rsidRPr="00CE0424">
        <w:t>Conclusion</w:t>
      </w:r>
      <w:r w:rsidR="00AE2FEB">
        <w:t>s</w:t>
      </w:r>
    </w:p>
    <w:p w14:paraId="3CB43BA7" w14:textId="36C194D0" w:rsidR="00E02EDD" w:rsidRDefault="00935E61" w:rsidP="00923227">
      <w:pPr>
        <w:pStyle w:val="BodyText"/>
      </w:pPr>
      <w:r>
        <w:t xml:space="preserve">We make the following </w:t>
      </w:r>
      <w:bookmarkStart w:id="12" w:name="_GoBack"/>
      <w:bookmarkEnd w:id="12"/>
      <w:r>
        <w:t>proposals</w:t>
      </w:r>
      <w:r w:rsidR="00E02EDD">
        <w:t>:</w:t>
      </w:r>
    </w:p>
    <w:p w14:paraId="38BB0410" w14:textId="0EE6F3A6" w:rsidR="002B0369" w:rsidRDefault="00935E61">
      <w:pPr>
        <w:pStyle w:val="TOC1"/>
      </w:pPr>
      <w:r>
        <w:rPr>
          <w:b w:val="0"/>
          <w:bCs/>
        </w:rPr>
        <w:fldChar w:fldCharType="begin"/>
      </w:r>
      <w:r>
        <w:rPr>
          <w:bCs/>
        </w:rPr>
        <w:instrText xml:space="preserve"> TOC \f \n \p " " \t "Proposal,1" </w:instrText>
      </w:r>
      <w:r>
        <w:rPr>
          <w:b w:val="0"/>
          <w:bCs/>
        </w:rPr>
        <w:fldChar w:fldCharType="separate"/>
      </w:r>
    </w:p>
    <w:p w14:paraId="3D657A8A" w14:textId="77777777" w:rsidR="00AD76D7" w:rsidRDefault="00AD76D7" w:rsidP="00923227">
      <w:pPr>
        <w:pStyle w:val="Proposal"/>
        <w:numPr>
          <w:ilvl w:val="0"/>
          <w:numId w:val="41"/>
        </w:numPr>
        <w:tabs>
          <w:tab w:val="clear" w:pos="1304"/>
          <w:tab w:val="clear" w:pos="1701"/>
          <w:tab w:val="num" w:pos="1710"/>
        </w:tabs>
        <w:ind w:left="1710" w:hanging="1710"/>
      </w:pPr>
      <w:r>
        <w:t xml:space="preserve">For PUCCH PC, utilize the </w:t>
      </w:r>
      <w:r w:rsidRPr="00F7063A">
        <w:t>N-bit indicator field which provides a reference to a DL RS which is spatially QCL’d with at least one PDSCH DMRS port group</w:t>
      </w:r>
      <w:r>
        <w:t xml:space="preserve"> in order to define a corresponding beam specific PC-parameter-set </w:t>
      </w:r>
    </w:p>
    <w:p w14:paraId="791ACF5E" w14:textId="77777777" w:rsidR="00AD76D7" w:rsidRDefault="00AD76D7" w:rsidP="00AD76D7">
      <w:pPr>
        <w:pStyle w:val="Proposal"/>
      </w:pPr>
      <w:r>
        <w:t>For a PUSCH transmission, the beam specific PC-parameter-set that the UE uses to set its transmit power is determined from the implicit/explicit beam indication provided to the UE for that transmission.</w:t>
      </w:r>
    </w:p>
    <w:p w14:paraId="48B08F10" w14:textId="77777777" w:rsidR="00AD76D7" w:rsidRDefault="00AD76D7" w:rsidP="00AD76D7">
      <w:pPr>
        <w:pStyle w:val="Proposal"/>
      </w:pPr>
      <w:r>
        <w:t xml:space="preserve">Reuse the implicit/explicit mean indication mechanisms defined for beam management purposes for PC purposes as much as possible to avoid specifying redundant signalling. </w:t>
      </w:r>
    </w:p>
    <w:p w14:paraId="0185F95D" w14:textId="708BEC12" w:rsidR="00BF6992" w:rsidRDefault="00935E61" w:rsidP="00935E61">
      <w:pPr>
        <w:pStyle w:val="BodyText"/>
        <w:rPr>
          <w:b/>
          <w:bCs/>
        </w:rPr>
      </w:pPr>
      <w:r>
        <w:rPr>
          <w:b/>
          <w:bCs/>
        </w:rPr>
        <w:fldChar w:fldCharType="end"/>
      </w:r>
    </w:p>
    <w:p w14:paraId="5367DAF4" w14:textId="26F8A096" w:rsidR="00B01481" w:rsidRDefault="00A97502" w:rsidP="00A97502">
      <w:pPr>
        <w:pStyle w:val="Heading1"/>
      </w:pPr>
      <w:r>
        <w:t>References</w:t>
      </w:r>
    </w:p>
    <w:p w14:paraId="2B355E87" w14:textId="3A2CECAC" w:rsidR="00A97502" w:rsidRPr="00A97502" w:rsidRDefault="00A97502" w:rsidP="00A97502">
      <w:pPr>
        <w:overflowPunct/>
        <w:autoSpaceDE/>
        <w:autoSpaceDN/>
        <w:adjustRightInd/>
        <w:spacing w:after="0"/>
        <w:textAlignment w:val="auto"/>
        <w:rPr>
          <w:rFonts w:ascii="Calibri" w:hAnsi="Calibri"/>
          <w:sz w:val="22"/>
          <w:szCs w:val="22"/>
          <w:lang w:val="en-AU" w:eastAsia="sv-FI"/>
        </w:rPr>
      </w:pPr>
      <w:r>
        <w:t xml:space="preserve">[1] </w:t>
      </w:r>
      <w:r>
        <w:tab/>
      </w:r>
      <w:r w:rsidRPr="00A97502">
        <w:t xml:space="preserve">R1-1716350 </w:t>
      </w:r>
      <w:r>
        <w:t>“</w:t>
      </w:r>
      <w:r w:rsidRPr="00A97502">
        <w:rPr>
          <w:rFonts w:ascii="Calibri" w:hAnsi="Calibri"/>
          <w:sz w:val="22"/>
          <w:szCs w:val="22"/>
          <w:lang w:val="en-AU" w:eastAsia="sv-FI"/>
        </w:rPr>
        <w:t>On beam indication, measurement, and reporting</w:t>
      </w:r>
      <w:r>
        <w:t>”,</w:t>
      </w:r>
      <w:r w:rsidRPr="00A97502">
        <w:rPr>
          <w:lang w:val="en-US"/>
        </w:rPr>
        <w:t xml:space="preserve"> </w:t>
      </w:r>
      <w:r w:rsidRPr="001B4FC6">
        <w:rPr>
          <w:lang w:val="en-US"/>
        </w:rPr>
        <w:t>3GPP TSG-RAN WG1 NR Ad Hoc #3</w:t>
      </w:r>
    </w:p>
    <w:sectPr w:rsidR="00A97502" w:rsidRPr="00A97502"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64CC0" w14:textId="77777777" w:rsidR="00840154" w:rsidRDefault="00840154">
      <w:r>
        <w:separator/>
      </w:r>
    </w:p>
  </w:endnote>
  <w:endnote w:type="continuationSeparator" w:id="0">
    <w:p w14:paraId="5C2C135B" w14:textId="77777777" w:rsidR="00840154" w:rsidRDefault="00840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F0E19" w14:textId="77777777" w:rsidR="00F84E9B" w:rsidRDefault="00F84E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26D0B2D" w:rsidR="00D92194" w:rsidRDefault="00D9219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84E9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4E9B">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E5BFF" w14:textId="77777777" w:rsidR="00F84E9B" w:rsidRDefault="00F84E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5826A" w14:textId="77777777" w:rsidR="00840154" w:rsidRDefault="00840154">
      <w:r>
        <w:separator/>
      </w:r>
    </w:p>
  </w:footnote>
  <w:footnote w:type="continuationSeparator" w:id="0">
    <w:p w14:paraId="30811D59" w14:textId="77777777" w:rsidR="00840154" w:rsidRDefault="00840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D92194" w:rsidRDefault="00D921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4077E" w14:textId="77777777" w:rsidR="00F84E9B" w:rsidRDefault="00F84E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354BE" w14:textId="77777777" w:rsidR="00F84E9B" w:rsidRDefault="00F84E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981C30"/>
    <w:multiLevelType w:val="hybridMultilevel"/>
    <w:tmpl w:val="426CA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C539E"/>
    <w:multiLevelType w:val="hybridMultilevel"/>
    <w:tmpl w:val="2FDED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C5FCA"/>
    <w:multiLevelType w:val="hybridMultilevel"/>
    <w:tmpl w:val="15D4CE52"/>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7"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CC35CB"/>
    <w:multiLevelType w:val="hybridMultilevel"/>
    <w:tmpl w:val="E5AE0426"/>
    <w:lvl w:ilvl="0" w:tplc="9C667FF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51DF6"/>
    <w:multiLevelType w:val="hybridMultilevel"/>
    <w:tmpl w:val="AD982BC8"/>
    <w:lvl w:ilvl="0" w:tplc="7F3EDA28">
      <w:numFmt w:val="bullet"/>
      <w:lvlText w:val="-"/>
      <w:lvlJc w:val="left"/>
      <w:pPr>
        <w:ind w:left="720" w:hanging="360"/>
      </w:pPr>
      <w:rPr>
        <w:rFonts w:ascii="Times New Roman" w:eastAsia="MS Mincho"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8333AF"/>
    <w:multiLevelType w:val="hybridMultilevel"/>
    <w:tmpl w:val="EA1AA4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FF7FCB"/>
    <w:multiLevelType w:val="hybridMultilevel"/>
    <w:tmpl w:val="A8345032"/>
    <w:lvl w:ilvl="0" w:tplc="041D0001">
      <w:start w:val="1"/>
      <w:numFmt w:val="bullet"/>
      <w:lvlText w:val=""/>
      <w:lvlJc w:val="left"/>
      <w:pPr>
        <w:ind w:left="600" w:hanging="360"/>
      </w:pPr>
      <w:rPr>
        <w:rFonts w:ascii="Symbol" w:hAnsi="Symbol" w:hint="default"/>
      </w:rPr>
    </w:lvl>
    <w:lvl w:ilvl="1" w:tplc="04090003">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25"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7A169C"/>
    <w:multiLevelType w:val="hybridMultilevel"/>
    <w:tmpl w:val="A2B0D5A4"/>
    <w:lvl w:ilvl="0" w:tplc="9822BCA6">
      <w:start w:val="1"/>
      <w:numFmt w:val="lowerLetter"/>
      <w:lvlText w:val="%1)"/>
      <w:lvlJc w:val="left"/>
      <w:pPr>
        <w:ind w:left="720" w:hanging="360"/>
      </w:pPr>
      <w:rPr>
        <w:rFonts w:ascii="Times New Roman" w:eastAsia="Times New Roman" w:hAnsi="Times New Roman" w:cs="Times New Roman"/>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9" w15:restartNumberingAfterBreak="0">
    <w:nsid w:val="69037570"/>
    <w:multiLevelType w:val="hybridMultilevel"/>
    <w:tmpl w:val="4BA08982"/>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605D0"/>
    <w:multiLevelType w:val="hybridMultilevel"/>
    <w:tmpl w:val="3CD66A8A"/>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3" w15:restartNumberingAfterBreak="0">
    <w:nsid w:val="73DA3FE6"/>
    <w:multiLevelType w:val="hybridMultilevel"/>
    <w:tmpl w:val="144E3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D43F64"/>
    <w:multiLevelType w:val="hybridMultilevel"/>
    <w:tmpl w:val="575CCFF4"/>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5" w15:restartNumberingAfterBreak="0">
    <w:nsid w:val="7BF40961"/>
    <w:multiLevelType w:val="hybridMultilevel"/>
    <w:tmpl w:val="3B9A084C"/>
    <w:lvl w:ilvl="0" w:tplc="9C667F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661A60"/>
    <w:multiLevelType w:val="hybridMultilevel"/>
    <w:tmpl w:val="2F8C6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C05ED7"/>
    <w:multiLevelType w:val="hybridMultilevel"/>
    <w:tmpl w:val="524A5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2"/>
  </w:num>
  <w:num w:numId="6">
    <w:abstractNumId w:val="20"/>
  </w:num>
  <w:num w:numId="7">
    <w:abstractNumId w:val="27"/>
  </w:num>
  <w:num w:numId="8">
    <w:abstractNumId w:val="13"/>
  </w:num>
  <w:num w:numId="9">
    <w:abstractNumId w:val="10"/>
  </w:num>
  <w:num w:numId="10">
    <w:abstractNumId w:val="2"/>
  </w:num>
  <w:num w:numId="11">
    <w:abstractNumId w:val="1"/>
  </w:num>
  <w:num w:numId="12">
    <w:abstractNumId w:val="0"/>
  </w:num>
  <w:num w:numId="13">
    <w:abstractNumId w:val="26"/>
  </w:num>
  <w:num w:numId="14">
    <w:abstractNumId w:val="16"/>
  </w:num>
  <w:num w:numId="15">
    <w:abstractNumId w:val="17"/>
  </w:num>
  <w:num w:numId="16">
    <w:abstractNumId w:val="11"/>
  </w:num>
  <w:num w:numId="17">
    <w:abstractNumId w:val="30"/>
  </w:num>
  <w:num w:numId="18">
    <w:abstractNumId w:val="14"/>
  </w:num>
  <w:num w:numId="19">
    <w:abstractNumId w:val="29"/>
  </w:num>
  <w:num w:numId="20">
    <w:abstractNumId w:val="4"/>
  </w:num>
  <w:num w:numId="21">
    <w:abstractNumId w:val="36"/>
  </w:num>
  <w:num w:numId="22">
    <w:abstractNumId w:val="24"/>
  </w:num>
  <w:num w:numId="23">
    <w:abstractNumId w:val="7"/>
  </w:num>
  <w:num w:numId="24">
    <w:abstractNumId w:val="22"/>
  </w:num>
  <w:num w:numId="25">
    <w:abstractNumId w:val="25"/>
  </w:num>
  <w:num w:numId="26">
    <w:abstractNumId w:val="37"/>
  </w:num>
  <w:num w:numId="27">
    <w:abstractNumId w:val="9"/>
  </w:num>
  <w:num w:numId="28">
    <w:abstractNumId w:val="33"/>
  </w:num>
  <w:num w:numId="29">
    <w:abstractNumId w:val="35"/>
  </w:num>
  <w:num w:numId="30">
    <w:abstractNumId w:val="8"/>
  </w:num>
  <w:num w:numId="31">
    <w:abstractNumId w:val="21"/>
  </w:num>
  <w:num w:numId="32">
    <w:abstractNumId w:val="5"/>
  </w:num>
  <w:num w:numId="33">
    <w:abstractNumId w:val="31"/>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lvlOverride w:ilvl="2"/>
    <w:lvlOverride w:ilvl="3"/>
    <w:lvlOverride w:ilvl="4"/>
    <w:lvlOverride w:ilvl="5"/>
    <w:lvlOverride w:ilvl="6"/>
    <w:lvlOverride w:ilvl="7"/>
    <w:lvlOverride w:ilvl="8"/>
  </w:num>
  <w:num w:numId="39">
    <w:abstractNumId w:val="6"/>
  </w:num>
  <w:num w:numId="40">
    <w:abstractNumId w:val="34"/>
  </w:num>
  <w:num w:numId="41">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72B"/>
    <w:rsid w:val="00006446"/>
    <w:rsid w:val="00006896"/>
    <w:rsid w:val="00007CDC"/>
    <w:rsid w:val="00011B28"/>
    <w:rsid w:val="00011C2F"/>
    <w:rsid w:val="00015D15"/>
    <w:rsid w:val="00022A29"/>
    <w:rsid w:val="00022D6A"/>
    <w:rsid w:val="0002564D"/>
    <w:rsid w:val="00025ECA"/>
    <w:rsid w:val="00030B30"/>
    <w:rsid w:val="000325B8"/>
    <w:rsid w:val="00034A62"/>
    <w:rsid w:val="00034C15"/>
    <w:rsid w:val="00036BA1"/>
    <w:rsid w:val="00042009"/>
    <w:rsid w:val="000422E2"/>
    <w:rsid w:val="00042F22"/>
    <w:rsid w:val="000444EF"/>
    <w:rsid w:val="00052A07"/>
    <w:rsid w:val="000534E3"/>
    <w:rsid w:val="0005606A"/>
    <w:rsid w:val="00057117"/>
    <w:rsid w:val="000579D9"/>
    <w:rsid w:val="000616E7"/>
    <w:rsid w:val="00062461"/>
    <w:rsid w:val="0006487E"/>
    <w:rsid w:val="00065E1A"/>
    <w:rsid w:val="000700BE"/>
    <w:rsid w:val="00077E5F"/>
    <w:rsid w:val="0008036A"/>
    <w:rsid w:val="00081AE6"/>
    <w:rsid w:val="000855EB"/>
    <w:rsid w:val="00085B52"/>
    <w:rsid w:val="000866F2"/>
    <w:rsid w:val="0009009F"/>
    <w:rsid w:val="00091557"/>
    <w:rsid w:val="000924C1"/>
    <w:rsid w:val="000924F0"/>
    <w:rsid w:val="00093474"/>
    <w:rsid w:val="0009510F"/>
    <w:rsid w:val="000A1B7B"/>
    <w:rsid w:val="000A389D"/>
    <w:rsid w:val="000A56F2"/>
    <w:rsid w:val="000B2719"/>
    <w:rsid w:val="000B3A8F"/>
    <w:rsid w:val="000B4AB9"/>
    <w:rsid w:val="000B58C3"/>
    <w:rsid w:val="000B61E9"/>
    <w:rsid w:val="000C165A"/>
    <w:rsid w:val="000C2E19"/>
    <w:rsid w:val="000C45D5"/>
    <w:rsid w:val="000C4C24"/>
    <w:rsid w:val="000D0B71"/>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E08"/>
    <w:rsid w:val="001326C2"/>
    <w:rsid w:val="00132FD0"/>
    <w:rsid w:val="001344C0"/>
    <w:rsid w:val="001346FA"/>
    <w:rsid w:val="00135252"/>
    <w:rsid w:val="00137AB5"/>
    <w:rsid w:val="00137BCE"/>
    <w:rsid w:val="00137F0B"/>
    <w:rsid w:val="0014407A"/>
    <w:rsid w:val="00151E23"/>
    <w:rsid w:val="001526E0"/>
    <w:rsid w:val="0015373E"/>
    <w:rsid w:val="001551B5"/>
    <w:rsid w:val="00163610"/>
    <w:rsid w:val="001659C1"/>
    <w:rsid w:val="00173A8E"/>
    <w:rsid w:val="0018143F"/>
    <w:rsid w:val="00190AC1"/>
    <w:rsid w:val="00193256"/>
    <w:rsid w:val="0019341A"/>
    <w:rsid w:val="00197DF9"/>
    <w:rsid w:val="001A1987"/>
    <w:rsid w:val="001A2564"/>
    <w:rsid w:val="001A39D1"/>
    <w:rsid w:val="001A58F1"/>
    <w:rsid w:val="001A6173"/>
    <w:rsid w:val="001A6CBA"/>
    <w:rsid w:val="001B0D97"/>
    <w:rsid w:val="001B4FC6"/>
    <w:rsid w:val="001B5A5D"/>
    <w:rsid w:val="001B762F"/>
    <w:rsid w:val="001C1CE5"/>
    <w:rsid w:val="001C3D2A"/>
    <w:rsid w:val="001C772C"/>
    <w:rsid w:val="001D51BA"/>
    <w:rsid w:val="001D6342"/>
    <w:rsid w:val="001D6D53"/>
    <w:rsid w:val="001E2560"/>
    <w:rsid w:val="001E58E2"/>
    <w:rsid w:val="001E7AED"/>
    <w:rsid w:val="001F3916"/>
    <w:rsid w:val="001F4D39"/>
    <w:rsid w:val="001F54C5"/>
    <w:rsid w:val="001F662C"/>
    <w:rsid w:val="001F7074"/>
    <w:rsid w:val="0020020B"/>
    <w:rsid w:val="00200490"/>
    <w:rsid w:val="00201F3A"/>
    <w:rsid w:val="00202A3B"/>
    <w:rsid w:val="00203F96"/>
    <w:rsid w:val="002069B2"/>
    <w:rsid w:val="00207FA3"/>
    <w:rsid w:val="00214DA8"/>
    <w:rsid w:val="00215423"/>
    <w:rsid w:val="002158FA"/>
    <w:rsid w:val="00220600"/>
    <w:rsid w:val="00220DD8"/>
    <w:rsid w:val="002218E2"/>
    <w:rsid w:val="002224DB"/>
    <w:rsid w:val="00223FCB"/>
    <w:rsid w:val="002252C3"/>
    <w:rsid w:val="00225C54"/>
    <w:rsid w:val="00230765"/>
    <w:rsid w:val="002319E4"/>
    <w:rsid w:val="00231E12"/>
    <w:rsid w:val="00234BED"/>
    <w:rsid w:val="00235632"/>
    <w:rsid w:val="00235872"/>
    <w:rsid w:val="00241559"/>
    <w:rsid w:val="002435B3"/>
    <w:rsid w:val="002451ED"/>
    <w:rsid w:val="002458EB"/>
    <w:rsid w:val="002500C8"/>
    <w:rsid w:val="00256046"/>
    <w:rsid w:val="00257543"/>
    <w:rsid w:val="002611E7"/>
    <w:rsid w:val="002617E7"/>
    <w:rsid w:val="00264228"/>
    <w:rsid w:val="00264334"/>
    <w:rsid w:val="0026473E"/>
    <w:rsid w:val="00266214"/>
    <w:rsid w:val="00267C83"/>
    <w:rsid w:val="0027144F"/>
    <w:rsid w:val="00271813"/>
    <w:rsid w:val="00271F3A"/>
    <w:rsid w:val="00273278"/>
    <w:rsid w:val="002737F4"/>
    <w:rsid w:val="00277C7E"/>
    <w:rsid w:val="002805F5"/>
    <w:rsid w:val="00280751"/>
    <w:rsid w:val="0028280A"/>
    <w:rsid w:val="00286ACD"/>
    <w:rsid w:val="00287838"/>
    <w:rsid w:val="002907B5"/>
    <w:rsid w:val="00292EB7"/>
    <w:rsid w:val="00296227"/>
    <w:rsid w:val="00296F44"/>
    <w:rsid w:val="0029777D"/>
    <w:rsid w:val="002A055E"/>
    <w:rsid w:val="002A1D4E"/>
    <w:rsid w:val="002A2869"/>
    <w:rsid w:val="002A5BD6"/>
    <w:rsid w:val="002B0369"/>
    <w:rsid w:val="002B24D6"/>
    <w:rsid w:val="002C41E6"/>
    <w:rsid w:val="002D071A"/>
    <w:rsid w:val="002D1ED2"/>
    <w:rsid w:val="002D246D"/>
    <w:rsid w:val="002D34B2"/>
    <w:rsid w:val="002D7637"/>
    <w:rsid w:val="002E0289"/>
    <w:rsid w:val="002E17F2"/>
    <w:rsid w:val="002E2E91"/>
    <w:rsid w:val="002E4464"/>
    <w:rsid w:val="002E507C"/>
    <w:rsid w:val="002E5561"/>
    <w:rsid w:val="002E5760"/>
    <w:rsid w:val="002E7CAE"/>
    <w:rsid w:val="002F2771"/>
    <w:rsid w:val="002F37A9"/>
    <w:rsid w:val="002F6288"/>
    <w:rsid w:val="00301CE6"/>
    <w:rsid w:val="0030256B"/>
    <w:rsid w:val="0030501F"/>
    <w:rsid w:val="00307BA1"/>
    <w:rsid w:val="00311702"/>
    <w:rsid w:val="00311E82"/>
    <w:rsid w:val="00313FD6"/>
    <w:rsid w:val="003143BD"/>
    <w:rsid w:val="00316180"/>
    <w:rsid w:val="003203ED"/>
    <w:rsid w:val="0032071F"/>
    <w:rsid w:val="00322C9F"/>
    <w:rsid w:val="00324D23"/>
    <w:rsid w:val="00327997"/>
    <w:rsid w:val="00331751"/>
    <w:rsid w:val="00331B7B"/>
    <w:rsid w:val="00334579"/>
    <w:rsid w:val="00335858"/>
    <w:rsid w:val="00336BDA"/>
    <w:rsid w:val="00342BD7"/>
    <w:rsid w:val="003453D8"/>
    <w:rsid w:val="00346DB5"/>
    <w:rsid w:val="003477B1"/>
    <w:rsid w:val="00356447"/>
    <w:rsid w:val="00356A14"/>
    <w:rsid w:val="00357380"/>
    <w:rsid w:val="003602D9"/>
    <w:rsid w:val="003604CE"/>
    <w:rsid w:val="00370E47"/>
    <w:rsid w:val="003742AC"/>
    <w:rsid w:val="00374ADB"/>
    <w:rsid w:val="00377CE1"/>
    <w:rsid w:val="00385BF0"/>
    <w:rsid w:val="003939FF"/>
    <w:rsid w:val="00393FEE"/>
    <w:rsid w:val="003A0E41"/>
    <w:rsid w:val="003A2223"/>
    <w:rsid w:val="003A2A0F"/>
    <w:rsid w:val="003A45A1"/>
    <w:rsid w:val="003A5B0A"/>
    <w:rsid w:val="003A6BAC"/>
    <w:rsid w:val="003A7EF3"/>
    <w:rsid w:val="003B159C"/>
    <w:rsid w:val="003B369F"/>
    <w:rsid w:val="003B36A3"/>
    <w:rsid w:val="003B5496"/>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7B2"/>
    <w:rsid w:val="00402933"/>
    <w:rsid w:val="00402E2B"/>
    <w:rsid w:val="004033B5"/>
    <w:rsid w:val="00403959"/>
    <w:rsid w:val="004050EA"/>
    <w:rsid w:val="0040512B"/>
    <w:rsid w:val="00405CA5"/>
    <w:rsid w:val="00407CD3"/>
    <w:rsid w:val="00410134"/>
    <w:rsid w:val="00410B72"/>
    <w:rsid w:val="00410F18"/>
    <w:rsid w:val="0041263E"/>
    <w:rsid w:val="00413AAC"/>
    <w:rsid w:val="00413E92"/>
    <w:rsid w:val="00421105"/>
    <w:rsid w:val="004242F4"/>
    <w:rsid w:val="00427248"/>
    <w:rsid w:val="0043084A"/>
    <w:rsid w:val="00437447"/>
    <w:rsid w:val="00441782"/>
    <w:rsid w:val="00441A92"/>
    <w:rsid w:val="00444F56"/>
    <w:rsid w:val="00446488"/>
    <w:rsid w:val="004517AA"/>
    <w:rsid w:val="00452311"/>
    <w:rsid w:val="00452CAC"/>
    <w:rsid w:val="00457565"/>
    <w:rsid w:val="00457B71"/>
    <w:rsid w:val="00465ABC"/>
    <w:rsid w:val="004669E2"/>
    <w:rsid w:val="00470C31"/>
    <w:rsid w:val="004734D0"/>
    <w:rsid w:val="0047556B"/>
    <w:rsid w:val="00477768"/>
    <w:rsid w:val="0048127A"/>
    <w:rsid w:val="00486883"/>
    <w:rsid w:val="00492BC5"/>
    <w:rsid w:val="004964F1"/>
    <w:rsid w:val="0049696D"/>
    <w:rsid w:val="004A16BC"/>
    <w:rsid w:val="004A2B94"/>
    <w:rsid w:val="004A7EBA"/>
    <w:rsid w:val="004B7C0C"/>
    <w:rsid w:val="004C3898"/>
    <w:rsid w:val="004C4136"/>
    <w:rsid w:val="004D10DD"/>
    <w:rsid w:val="004D36B1"/>
    <w:rsid w:val="004D7EBD"/>
    <w:rsid w:val="004E2680"/>
    <w:rsid w:val="004E28F9"/>
    <w:rsid w:val="004E462E"/>
    <w:rsid w:val="004E56DC"/>
    <w:rsid w:val="004E76F4"/>
    <w:rsid w:val="004F0B4E"/>
    <w:rsid w:val="004F0B6C"/>
    <w:rsid w:val="004F2078"/>
    <w:rsid w:val="004F4DA3"/>
    <w:rsid w:val="00505DE4"/>
    <w:rsid w:val="00506557"/>
    <w:rsid w:val="0050677A"/>
    <w:rsid w:val="005108D8"/>
    <w:rsid w:val="005116F9"/>
    <w:rsid w:val="005153A7"/>
    <w:rsid w:val="00516489"/>
    <w:rsid w:val="005219CF"/>
    <w:rsid w:val="00534B59"/>
    <w:rsid w:val="00536759"/>
    <w:rsid w:val="00537C62"/>
    <w:rsid w:val="005430E3"/>
    <w:rsid w:val="00546970"/>
    <w:rsid w:val="00547F03"/>
    <w:rsid w:val="00554192"/>
    <w:rsid w:val="00554E19"/>
    <w:rsid w:val="0056121F"/>
    <w:rsid w:val="00563833"/>
    <w:rsid w:val="00572505"/>
    <w:rsid w:val="00575DA6"/>
    <w:rsid w:val="00582809"/>
    <w:rsid w:val="00583278"/>
    <w:rsid w:val="00583D71"/>
    <w:rsid w:val="005857CF"/>
    <w:rsid w:val="0058798C"/>
    <w:rsid w:val="00587C44"/>
    <w:rsid w:val="005900FA"/>
    <w:rsid w:val="005935A4"/>
    <w:rsid w:val="005948C2"/>
    <w:rsid w:val="00595DCA"/>
    <w:rsid w:val="00595FC9"/>
    <w:rsid w:val="0059779B"/>
    <w:rsid w:val="005A209A"/>
    <w:rsid w:val="005A5BFC"/>
    <w:rsid w:val="005A662D"/>
    <w:rsid w:val="005B0E1C"/>
    <w:rsid w:val="005B30CF"/>
    <w:rsid w:val="005B35D7"/>
    <w:rsid w:val="005B392A"/>
    <w:rsid w:val="005B3AA3"/>
    <w:rsid w:val="005B6DD3"/>
    <w:rsid w:val="005B6F83"/>
    <w:rsid w:val="005C6E7A"/>
    <w:rsid w:val="005C74FB"/>
    <w:rsid w:val="005D1602"/>
    <w:rsid w:val="005E385F"/>
    <w:rsid w:val="005E5B81"/>
    <w:rsid w:val="005F2A74"/>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CA7"/>
    <w:rsid w:val="0064624E"/>
    <w:rsid w:val="00646CC6"/>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7ED"/>
    <w:rsid w:val="00681003"/>
    <w:rsid w:val="006817C9"/>
    <w:rsid w:val="00683ECE"/>
    <w:rsid w:val="00691F58"/>
    <w:rsid w:val="006946D1"/>
    <w:rsid w:val="00695FC2"/>
    <w:rsid w:val="00696949"/>
    <w:rsid w:val="00697052"/>
    <w:rsid w:val="006A46FB"/>
    <w:rsid w:val="006A5E28"/>
    <w:rsid w:val="006A6585"/>
    <w:rsid w:val="006A697B"/>
    <w:rsid w:val="006A7AFF"/>
    <w:rsid w:val="006B1816"/>
    <w:rsid w:val="006B2099"/>
    <w:rsid w:val="006B24D4"/>
    <w:rsid w:val="006B50CF"/>
    <w:rsid w:val="006C03B8"/>
    <w:rsid w:val="006C2243"/>
    <w:rsid w:val="006C5EC9"/>
    <w:rsid w:val="006C6059"/>
    <w:rsid w:val="006C7522"/>
    <w:rsid w:val="006C7633"/>
    <w:rsid w:val="006D098B"/>
    <w:rsid w:val="006D6F08"/>
    <w:rsid w:val="006E062C"/>
    <w:rsid w:val="006E1514"/>
    <w:rsid w:val="006E2288"/>
    <w:rsid w:val="006E28B7"/>
    <w:rsid w:val="006E2C5D"/>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174"/>
    <w:rsid w:val="00726EA6"/>
    <w:rsid w:val="00727208"/>
    <w:rsid w:val="00727680"/>
    <w:rsid w:val="007348B1"/>
    <w:rsid w:val="007362A6"/>
    <w:rsid w:val="00736D7D"/>
    <w:rsid w:val="00737FB0"/>
    <w:rsid w:val="00740E58"/>
    <w:rsid w:val="007445A0"/>
    <w:rsid w:val="0074524B"/>
    <w:rsid w:val="00747C22"/>
    <w:rsid w:val="00747D8B"/>
    <w:rsid w:val="00751228"/>
    <w:rsid w:val="00755917"/>
    <w:rsid w:val="007571E1"/>
    <w:rsid w:val="007604B2"/>
    <w:rsid w:val="007627E0"/>
    <w:rsid w:val="007641F9"/>
    <w:rsid w:val="00765281"/>
    <w:rsid w:val="00766BAD"/>
    <w:rsid w:val="007748D4"/>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55DF"/>
    <w:rsid w:val="007C60BF"/>
    <w:rsid w:val="007C6A07"/>
    <w:rsid w:val="007C75A1"/>
    <w:rsid w:val="007C77A5"/>
    <w:rsid w:val="007D04E5"/>
    <w:rsid w:val="007D5901"/>
    <w:rsid w:val="007D69C1"/>
    <w:rsid w:val="007D7526"/>
    <w:rsid w:val="007E4610"/>
    <w:rsid w:val="007E4715"/>
    <w:rsid w:val="007E505B"/>
    <w:rsid w:val="007E7091"/>
    <w:rsid w:val="007F2C79"/>
    <w:rsid w:val="007F75D5"/>
    <w:rsid w:val="00803FAE"/>
    <w:rsid w:val="0080605F"/>
    <w:rsid w:val="00806EE7"/>
    <w:rsid w:val="00807786"/>
    <w:rsid w:val="00811FCB"/>
    <w:rsid w:val="008158D6"/>
    <w:rsid w:val="00817196"/>
    <w:rsid w:val="008179F8"/>
    <w:rsid w:val="008235DB"/>
    <w:rsid w:val="00824AB4"/>
    <w:rsid w:val="00825C42"/>
    <w:rsid w:val="00825D25"/>
    <w:rsid w:val="00827D6F"/>
    <w:rsid w:val="008376AC"/>
    <w:rsid w:val="00840154"/>
    <w:rsid w:val="008444E8"/>
    <w:rsid w:val="00844E80"/>
    <w:rsid w:val="00846FE7"/>
    <w:rsid w:val="00856911"/>
    <w:rsid w:val="0086748D"/>
    <w:rsid w:val="008677FD"/>
    <w:rsid w:val="008706D4"/>
    <w:rsid w:val="00870F8A"/>
    <w:rsid w:val="008719A4"/>
    <w:rsid w:val="00871D23"/>
    <w:rsid w:val="00874312"/>
    <w:rsid w:val="0087437C"/>
    <w:rsid w:val="00875CD7"/>
    <w:rsid w:val="00876B4D"/>
    <w:rsid w:val="00877F18"/>
    <w:rsid w:val="008867F3"/>
    <w:rsid w:val="00887039"/>
    <w:rsid w:val="00894A88"/>
    <w:rsid w:val="00895386"/>
    <w:rsid w:val="008A21FF"/>
    <w:rsid w:val="008A2CE2"/>
    <w:rsid w:val="008A30AC"/>
    <w:rsid w:val="008A44B8"/>
    <w:rsid w:val="008A51A8"/>
    <w:rsid w:val="008A54C7"/>
    <w:rsid w:val="008A59D9"/>
    <w:rsid w:val="008A71AF"/>
    <w:rsid w:val="008A77D8"/>
    <w:rsid w:val="008B0483"/>
    <w:rsid w:val="008B120C"/>
    <w:rsid w:val="008B51A0"/>
    <w:rsid w:val="008B592A"/>
    <w:rsid w:val="008B7B5C"/>
    <w:rsid w:val="008C0C99"/>
    <w:rsid w:val="008C2017"/>
    <w:rsid w:val="008C4958"/>
    <w:rsid w:val="008C4BAA"/>
    <w:rsid w:val="008C6AE8"/>
    <w:rsid w:val="008C7573"/>
    <w:rsid w:val="008D272C"/>
    <w:rsid w:val="008D34F1"/>
    <w:rsid w:val="008D39D8"/>
    <w:rsid w:val="008D3E5D"/>
    <w:rsid w:val="008D6D1A"/>
    <w:rsid w:val="008E065E"/>
    <w:rsid w:val="008E0927"/>
    <w:rsid w:val="008E1909"/>
    <w:rsid w:val="008F1EAB"/>
    <w:rsid w:val="008F33DC"/>
    <w:rsid w:val="008F477F"/>
    <w:rsid w:val="00902350"/>
    <w:rsid w:val="0090262A"/>
    <w:rsid w:val="0090336B"/>
    <w:rsid w:val="009053AA"/>
    <w:rsid w:val="00906939"/>
    <w:rsid w:val="0090712D"/>
    <w:rsid w:val="00910B7D"/>
    <w:rsid w:val="00911DFB"/>
    <w:rsid w:val="0091328D"/>
    <w:rsid w:val="009139D9"/>
    <w:rsid w:val="00914AD8"/>
    <w:rsid w:val="00916079"/>
    <w:rsid w:val="00917CE9"/>
    <w:rsid w:val="00920BF2"/>
    <w:rsid w:val="00922010"/>
    <w:rsid w:val="00923227"/>
    <w:rsid w:val="00924622"/>
    <w:rsid w:val="00931BD9"/>
    <w:rsid w:val="0093248D"/>
    <w:rsid w:val="00935739"/>
    <w:rsid w:val="00935E61"/>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3044"/>
    <w:rsid w:val="0096430A"/>
    <w:rsid w:val="0096554B"/>
    <w:rsid w:val="0096584A"/>
    <w:rsid w:val="00971F08"/>
    <w:rsid w:val="009721B3"/>
    <w:rsid w:val="0097493A"/>
    <w:rsid w:val="0097603D"/>
    <w:rsid w:val="00976949"/>
    <w:rsid w:val="00980477"/>
    <w:rsid w:val="00982EF9"/>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1188"/>
    <w:rsid w:val="009C403E"/>
    <w:rsid w:val="009C6832"/>
    <w:rsid w:val="009C6D4D"/>
    <w:rsid w:val="009D01F3"/>
    <w:rsid w:val="009D4FF0"/>
    <w:rsid w:val="009D703C"/>
    <w:rsid w:val="009D718F"/>
    <w:rsid w:val="009E068F"/>
    <w:rsid w:val="009E14E0"/>
    <w:rsid w:val="009E35DB"/>
    <w:rsid w:val="009E47A3"/>
    <w:rsid w:val="009F08F3"/>
    <w:rsid w:val="009F344F"/>
    <w:rsid w:val="00A031D8"/>
    <w:rsid w:val="00A048A8"/>
    <w:rsid w:val="00A04F49"/>
    <w:rsid w:val="00A0767D"/>
    <w:rsid w:val="00A13E54"/>
    <w:rsid w:val="00A15745"/>
    <w:rsid w:val="00A1601D"/>
    <w:rsid w:val="00A17F63"/>
    <w:rsid w:val="00A2193B"/>
    <w:rsid w:val="00A2351A"/>
    <w:rsid w:val="00A264A9"/>
    <w:rsid w:val="00A2683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970EB"/>
    <w:rsid w:val="00A97502"/>
    <w:rsid w:val="00AA016F"/>
    <w:rsid w:val="00AA1ED6"/>
    <w:rsid w:val="00AA51D6"/>
    <w:rsid w:val="00AB0BC8"/>
    <w:rsid w:val="00AB11CA"/>
    <w:rsid w:val="00AB14D9"/>
    <w:rsid w:val="00AB1861"/>
    <w:rsid w:val="00AB4AB8"/>
    <w:rsid w:val="00AB655E"/>
    <w:rsid w:val="00AC007F"/>
    <w:rsid w:val="00AC2ECD"/>
    <w:rsid w:val="00AC3119"/>
    <w:rsid w:val="00AC49FB"/>
    <w:rsid w:val="00AC5A10"/>
    <w:rsid w:val="00AC7789"/>
    <w:rsid w:val="00AD0AA3"/>
    <w:rsid w:val="00AD3F94"/>
    <w:rsid w:val="00AD4A5A"/>
    <w:rsid w:val="00AD76D7"/>
    <w:rsid w:val="00AE27AC"/>
    <w:rsid w:val="00AE2FEB"/>
    <w:rsid w:val="00AE40E0"/>
    <w:rsid w:val="00AE4DBA"/>
    <w:rsid w:val="00AE4F07"/>
    <w:rsid w:val="00AF0198"/>
    <w:rsid w:val="00AF1C5D"/>
    <w:rsid w:val="00AF42D7"/>
    <w:rsid w:val="00B00577"/>
    <w:rsid w:val="00B006FE"/>
    <w:rsid w:val="00B007CB"/>
    <w:rsid w:val="00B01481"/>
    <w:rsid w:val="00B02AA9"/>
    <w:rsid w:val="00B02FA3"/>
    <w:rsid w:val="00B03374"/>
    <w:rsid w:val="00B05084"/>
    <w:rsid w:val="00B07B71"/>
    <w:rsid w:val="00B10494"/>
    <w:rsid w:val="00B157F9"/>
    <w:rsid w:val="00B20256"/>
    <w:rsid w:val="00B20D09"/>
    <w:rsid w:val="00B2763F"/>
    <w:rsid w:val="00B27AAC"/>
    <w:rsid w:val="00B30929"/>
    <w:rsid w:val="00B372AA"/>
    <w:rsid w:val="00B40445"/>
    <w:rsid w:val="00B41888"/>
    <w:rsid w:val="00B45A52"/>
    <w:rsid w:val="00B46175"/>
    <w:rsid w:val="00B5393D"/>
    <w:rsid w:val="00B55453"/>
    <w:rsid w:val="00B664C7"/>
    <w:rsid w:val="00B739F6"/>
    <w:rsid w:val="00B75A51"/>
    <w:rsid w:val="00B77DCB"/>
    <w:rsid w:val="00B81A6C"/>
    <w:rsid w:val="00B85311"/>
    <w:rsid w:val="00B85DE5"/>
    <w:rsid w:val="00B90F73"/>
    <w:rsid w:val="00B93B59"/>
    <w:rsid w:val="00B9406A"/>
    <w:rsid w:val="00BA2280"/>
    <w:rsid w:val="00BA2A08"/>
    <w:rsid w:val="00BA56D2"/>
    <w:rsid w:val="00BA76E0"/>
    <w:rsid w:val="00BB2A25"/>
    <w:rsid w:val="00BB51E9"/>
    <w:rsid w:val="00BC0FDC"/>
    <w:rsid w:val="00BC3053"/>
    <w:rsid w:val="00BC4D2E"/>
    <w:rsid w:val="00BD0906"/>
    <w:rsid w:val="00BD48AC"/>
    <w:rsid w:val="00BD5F1A"/>
    <w:rsid w:val="00BE1234"/>
    <w:rsid w:val="00BE2FA6"/>
    <w:rsid w:val="00BE333F"/>
    <w:rsid w:val="00BE7406"/>
    <w:rsid w:val="00BE7603"/>
    <w:rsid w:val="00BF3279"/>
    <w:rsid w:val="00BF6992"/>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1B47"/>
    <w:rsid w:val="00C24D4F"/>
    <w:rsid w:val="00C279B5"/>
    <w:rsid w:val="00C27C45"/>
    <w:rsid w:val="00C3719D"/>
    <w:rsid w:val="00C5056C"/>
    <w:rsid w:val="00C54995"/>
    <w:rsid w:val="00C54D41"/>
    <w:rsid w:val="00C56A06"/>
    <w:rsid w:val="00C60783"/>
    <w:rsid w:val="00C64672"/>
    <w:rsid w:val="00C658B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3DBC"/>
    <w:rsid w:val="00CB7170"/>
    <w:rsid w:val="00CC040E"/>
    <w:rsid w:val="00CC111F"/>
    <w:rsid w:val="00CC2011"/>
    <w:rsid w:val="00CC37B4"/>
    <w:rsid w:val="00CC3EA0"/>
    <w:rsid w:val="00CC7B45"/>
    <w:rsid w:val="00CD1188"/>
    <w:rsid w:val="00CD2ED1"/>
    <w:rsid w:val="00CD337B"/>
    <w:rsid w:val="00CD7A58"/>
    <w:rsid w:val="00CE0424"/>
    <w:rsid w:val="00CE7561"/>
    <w:rsid w:val="00CF1354"/>
    <w:rsid w:val="00CF3B1F"/>
    <w:rsid w:val="00CF3BF6"/>
    <w:rsid w:val="00CF625B"/>
    <w:rsid w:val="00CF687E"/>
    <w:rsid w:val="00D0349B"/>
    <w:rsid w:val="00D10249"/>
    <w:rsid w:val="00D115C3"/>
    <w:rsid w:val="00D11897"/>
    <w:rsid w:val="00D11E49"/>
    <w:rsid w:val="00D13135"/>
    <w:rsid w:val="00D13219"/>
    <w:rsid w:val="00D13C9E"/>
    <w:rsid w:val="00D13E4E"/>
    <w:rsid w:val="00D14FFA"/>
    <w:rsid w:val="00D1510F"/>
    <w:rsid w:val="00D239A7"/>
    <w:rsid w:val="00D23F47"/>
    <w:rsid w:val="00D36E71"/>
    <w:rsid w:val="00D37D87"/>
    <w:rsid w:val="00D40B33"/>
    <w:rsid w:val="00D4318F"/>
    <w:rsid w:val="00D438BF"/>
    <w:rsid w:val="00D440F8"/>
    <w:rsid w:val="00D5457B"/>
    <w:rsid w:val="00D546FF"/>
    <w:rsid w:val="00D55AD5"/>
    <w:rsid w:val="00D576CA"/>
    <w:rsid w:val="00D61AF5"/>
    <w:rsid w:val="00D61B54"/>
    <w:rsid w:val="00D652B5"/>
    <w:rsid w:val="00D66155"/>
    <w:rsid w:val="00D708B0"/>
    <w:rsid w:val="00D77B1D"/>
    <w:rsid w:val="00D8021F"/>
    <w:rsid w:val="00D80383"/>
    <w:rsid w:val="00D823C6"/>
    <w:rsid w:val="00D84AC9"/>
    <w:rsid w:val="00D86CA3"/>
    <w:rsid w:val="00D871CE"/>
    <w:rsid w:val="00D9196D"/>
    <w:rsid w:val="00D92194"/>
    <w:rsid w:val="00D92982"/>
    <w:rsid w:val="00DA271A"/>
    <w:rsid w:val="00DA305E"/>
    <w:rsid w:val="00DA5417"/>
    <w:rsid w:val="00DA56E8"/>
    <w:rsid w:val="00DB0A9F"/>
    <w:rsid w:val="00DB377D"/>
    <w:rsid w:val="00DB46BF"/>
    <w:rsid w:val="00DC2D36"/>
    <w:rsid w:val="00DC53EF"/>
    <w:rsid w:val="00DE5608"/>
    <w:rsid w:val="00DE58D0"/>
    <w:rsid w:val="00DE654F"/>
    <w:rsid w:val="00DF0B6E"/>
    <w:rsid w:val="00DF15E0"/>
    <w:rsid w:val="00DF37A0"/>
    <w:rsid w:val="00DF6885"/>
    <w:rsid w:val="00E02EDD"/>
    <w:rsid w:val="00E110E7"/>
    <w:rsid w:val="00E11B20"/>
    <w:rsid w:val="00E17FA2"/>
    <w:rsid w:val="00E22330"/>
    <w:rsid w:val="00E30B5A"/>
    <w:rsid w:val="00E3123D"/>
    <w:rsid w:val="00E31461"/>
    <w:rsid w:val="00E31D43"/>
    <w:rsid w:val="00E32608"/>
    <w:rsid w:val="00E3315A"/>
    <w:rsid w:val="00E34188"/>
    <w:rsid w:val="00E349CA"/>
    <w:rsid w:val="00E34B6E"/>
    <w:rsid w:val="00E35559"/>
    <w:rsid w:val="00E3723A"/>
    <w:rsid w:val="00E37860"/>
    <w:rsid w:val="00E446F1"/>
    <w:rsid w:val="00E46886"/>
    <w:rsid w:val="00E47AEF"/>
    <w:rsid w:val="00E53B75"/>
    <w:rsid w:val="00E54E3B"/>
    <w:rsid w:val="00E5689D"/>
    <w:rsid w:val="00E57565"/>
    <w:rsid w:val="00E601CE"/>
    <w:rsid w:val="00E63838"/>
    <w:rsid w:val="00E64434"/>
    <w:rsid w:val="00E64B80"/>
    <w:rsid w:val="00E676CF"/>
    <w:rsid w:val="00E67C51"/>
    <w:rsid w:val="00E72EFC"/>
    <w:rsid w:val="00E7458C"/>
    <w:rsid w:val="00E758EC"/>
    <w:rsid w:val="00E8234C"/>
    <w:rsid w:val="00E83AA9"/>
    <w:rsid w:val="00E85928"/>
    <w:rsid w:val="00E87822"/>
    <w:rsid w:val="00E90395"/>
    <w:rsid w:val="00E90E49"/>
    <w:rsid w:val="00E91161"/>
    <w:rsid w:val="00E917F9"/>
    <w:rsid w:val="00E9291C"/>
    <w:rsid w:val="00E93FFE"/>
    <w:rsid w:val="00E94F8A"/>
    <w:rsid w:val="00EA4B16"/>
    <w:rsid w:val="00EA7A41"/>
    <w:rsid w:val="00EB077B"/>
    <w:rsid w:val="00EB1564"/>
    <w:rsid w:val="00EB3039"/>
    <w:rsid w:val="00EB4EA2"/>
    <w:rsid w:val="00EC27C6"/>
    <w:rsid w:val="00EC391F"/>
    <w:rsid w:val="00EC4207"/>
    <w:rsid w:val="00EC5653"/>
    <w:rsid w:val="00EC71CE"/>
    <w:rsid w:val="00EC77A7"/>
    <w:rsid w:val="00ED1006"/>
    <w:rsid w:val="00EE59C8"/>
    <w:rsid w:val="00EE74AB"/>
    <w:rsid w:val="00EF18FE"/>
    <w:rsid w:val="00EF5787"/>
    <w:rsid w:val="00EF60D0"/>
    <w:rsid w:val="00EF610A"/>
    <w:rsid w:val="00F0528D"/>
    <w:rsid w:val="00F056B2"/>
    <w:rsid w:val="00F06C67"/>
    <w:rsid w:val="00F06DFD"/>
    <w:rsid w:val="00F071D1"/>
    <w:rsid w:val="00F07533"/>
    <w:rsid w:val="00F10629"/>
    <w:rsid w:val="00F15FA5"/>
    <w:rsid w:val="00F209B7"/>
    <w:rsid w:val="00F2376F"/>
    <w:rsid w:val="00F243D8"/>
    <w:rsid w:val="00F2509F"/>
    <w:rsid w:val="00F30828"/>
    <w:rsid w:val="00F30E6A"/>
    <w:rsid w:val="00F313D6"/>
    <w:rsid w:val="00F40F0C"/>
    <w:rsid w:val="00F4766C"/>
    <w:rsid w:val="00F5060E"/>
    <w:rsid w:val="00F507D1"/>
    <w:rsid w:val="00F519CE"/>
    <w:rsid w:val="00F51ADA"/>
    <w:rsid w:val="00F56321"/>
    <w:rsid w:val="00F607C5"/>
    <w:rsid w:val="00F60DEA"/>
    <w:rsid w:val="00F6302A"/>
    <w:rsid w:val="00F64C2B"/>
    <w:rsid w:val="00F651BE"/>
    <w:rsid w:val="00F67F53"/>
    <w:rsid w:val="00F703BE"/>
    <w:rsid w:val="00F7063A"/>
    <w:rsid w:val="00F71F69"/>
    <w:rsid w:val="00F72B72"/>
    <w:rsid w:val="00F74BB9"/>
    <w:rsid w:val="00F75582"/>
    <w:rsid w:val="00F76EFA"/>
    <w:rsid w:val="00F804BE"/>
    <w:rsid w:val="00F817CE"/>
    <w:rsid w:val="00F8456C"/>
    <w:rsid w:val="00F84E9B"/>
    <w:rsid w:val="00F859D8"/>
    <w:rsid w:val="00F868F5"/>
    <w:rsid w:val="00F9056A"/>
    <w:rsid w:val="00F90F8D"/>
    <w:rsid w:val="00F92782"/>
    <w:rsid w:val="00F93AA9"/>
    <w:rsid w:val="00F96985"/>
    <w:rsid w:val="00F97838"/>
    <w:rsid w:val="00FA2BB3"/>
    <w:rsid w:val="00FB4C80"/>
    <w:rsid w:val="00FB4D09"/>
    <w:rsid w:val="00FB5031"/>
    <w:rsid w:val="00FB6A6A"/>
    <w:rsid w:val="00FC7429"/>
    <w:rsid w:val="00FD07F6"/>
    <w:rsid w:val="00FD1EC8"/>
    <w:rsid w:val="00FD47ED"/>
    <w:rsid w:val="00FD74DB"/>
    <w:rsid w:val="00FD7660"/>
    <w:rsid w:val="00FE0655"/>
    <w:rsid w:val="00FE0B9C"/>
    <w:rsid w:val="00FE2365"/>
    <w:rsid w:val="00FE37D7"/>
    <w:rsid w:val="00FE4C7B"/>
    <w:rsid w:val="00FE7336"/>
    <w:rsid w:val="00FE787C"/>
    <w:rsid w:val="00FF45A5"/>
    <w:rsid w:val="00FF5C91"/>
    <w:rsid w:val="00FF6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E446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2E446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E4464"/>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2E44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2E4464"/>
    <w:pPr>
      <w:numPr>
        <w:ilvl w:val="3"/>
      </w:numPr>
      <w:outlineLvl w:val="3"/>
    </w:pPr>
    <w:rPr>
      <w:szCs w:val="24"/>
    </w:rPr>
  </w:style>
  <w:style w:type="paragraph" w:styleId="Heading5">
    <w:name w:val="heading 5"/>
    <w:basedOn w:val="Heading4"/>
    <w:next w:val="Normal"/>
    <w:qFormat/>
    <w:rsid w:val="002E4464"/>
    <w:pPr>
      <w:numPr>
        <w:ilvl w:val="4"/>
      </w:numPr>
      <w:outlineLvl w:val="4"/>
    </w:pPr>
    <w:rPr>
      <w:sz w:val="22"/>
      <w:szCs w:val="22"/>
    </w:rPr>
  </w:style>
  <w:style w:type="paragraph" w:styleId="Heading6">
    <w:name w:val="heading 6"/>
    <w:basedOn w:val="Normal"/>
    <w:next w:val="Normal"/>
    <w:qFormat/>
    <w:rsid w:val="002E4464"/>
    <w:pPr>
      <w:keepNext/>
      <w:keepLines/>
      <w:numPr>
        <w:ilvl w:val="5"/>
        <w:numId w:val="1"/>
      </w:numPr>
      <w:spacing w:before="120"/>
      <w:outlineLvl w:val="5"/>
    </w:pPr>
    <w:rPr>
      <w:rFonts w:cs="Arial"/>
    </w:rPr>
  </w:style>
  <w:style w:type="paragraph" w:styleId="Heading7">
    <w:name w:val="heading 7"/>
    <w:basedOn w:val="Normal"/>
    <w:next w:val="Normal"/>
    <w:qFormat/>
    <w:rsid w:val="002E4464"/>
    <w:pPr>
      <w:keepNext/>
      <w:keepLines/>
      <w:numPr>
        <w:ilvl w:val="6"/>
        <w:numId w:val="1"/>
      </w:numPr>
      <w:spacing w:before="120"/>
      <w:outlineLvl w:val="6"/>
    </w:pPr>
    <w:rPr>
      <w:rFonts w:cs="Arial"/>
    </w:rPr>
  </w:style>
  <w:style w:type="paragraph" w:styleId="Heading8">
    <w:name w:val="heading 8"/>
    <w:basedOn w:val="Heading7"/>
    <w:next w:val="Normal"/>
    <w:qFormat/>
    <w:rsid w:val="002E4464"/>
    <w:pPr>
      <w:numPr>
        <w:ilvl w:val="7"/>
      </w:numPr>
      <w:outlineLvl w:val="7"/>
    </w:pPr>
  </w:style>
  <w:style w:type="paragraph" w:styleId="Heading9">
    <w:name w:val="heading 9"/>
    <w:basedOn w:val="Heading8"/>
    <w:next w:val="Normal"/>
    <w:qFormat/>
    <w:rsid w:val="002E44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E4464"/>
    <w:pPr>
      <w:spacing w:before="180"/>
      <w:ind w:left="2693" w:hanging="2693"/>
    </w:pPr>
    <w:rPr>
      <w:b w:val="0"/>
      <w:bCs/>
    </w:rPr>
  </w:style>
  <w:style w:type="paragraph" w:styleId="TOC1">
    <w:name w:val="toc 1"/>
    <w:aliases w:val="Observation TOC2"/>
    <w:uiPriority w:val="39"/>
    <w:rsid w:val="002E446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E4464"/>
    <w:pPr>
      <w:keepNext/>
      <w:keepLines/>
      <w:spacing w:before="180"/>
      <w:jc w:val="center"/>
    </w:pPr>
  </w:style>
  <w:style w:type="paragraph" w:styleId="Caption">
    <w:name w:val="caption"/>
    <w:basedOn w:val="Normal"/>
    <w:next w:val="Normal"/>
    <w:qFormat/>
    <w:rsid w:val="002E4464"/>
    <w:pPr>
      <w:spacing w:after="240"/>
      <w:jc w:val="center"/>
    </w:pPr>
    <w:rPr>
      <w:b/>
      <w:bCs/>
    </w:rPr>
  </w:style>
  <w:style w:type="paragraph" w:styleId="TOC5">
    <w:name w:val="toc 5"/>
    <w:aliases w:val="Observation TOC"/>
    <w:basedOn w:val="TOC4"/>
    <w:semiHidden/>
    <w:rsid w:val="002E4464"/>
    <w:pPr>
      <w:tabs>
        <w:tab w:val="right" w:pos="1701"/>
      </w:tabs>
      <w:ind w:left="1701" w:hanging="1701"/>
    </w:pPr>
  </w:style>
  <w:style w:type="paragraph" w:styleId="TOC4">
    <w:name w:val="toc 4"/>
    <w:basedOn w:val="TOC3"/>
    <w:semiHidden/>
    <w:rsid w:val="002E4464"/>
    <w:pPr>
      <w:ind w:left="1418" w:hanging="1418"/>
    </w:pPr>
  </w:style>
  <w:style w:type="paragraph" w:styleId="TOC3">
    <w:name w:val="toc 3"/>
    <w:basedOn w:val="TOC2"/>
    <w:semiHidden/>
    <w:rsid w:val="002E4464"/>
    <w:pPr>
      <w:ind w:left="1134" w:hanging="1134"/>
    </w:pPr>
  </w:style>
  <w:style w:type="paragraph" w:styleId="TOC2">
    <w:name w:val="toc 2"/>
    <w:basedOn w:val="TOC1"/>
    <w:semiHidden/>
    <w:rsid w:val="002E4464"/>
    <w:pPr>
      <w:keepNext w:val="0"/>
      <w:spacing w:before="0"/>
      <w:ind w:left="851" w:hanging="851"/>
    </w:pPr>
    <w:rPr>
      <w:szCs w:val="20"/>
    </w:rPr>
  </w:style>
  <w:style w:type="paragraph" w:styleId="Index2">
    <w:name w:val="index 2"/>
    <w:basedOn w:val="Index1"/>
    <w:semiHidden/>
    <w:rsid w:val="002E4464"/>
    <w:pPr>
      <w:ind w:left="284"/>
    </w:pPr>
  </w:style>
  <w:style w:type="paragraph" w:styleId="Index1">
    <w:name w:val="index 1"/>
    <w:basedOn w:val="Normal"/>
    <w:semiHidden/>
    <w:rsid w:val="002E4464"/>
    <w:pPr>
      <w:keepLines/>
      <w:spacing w:after="0"/>
    </w:pPr>
  </w:style>
  <w:style w:type="paragraph" w:styleId="DocumentMap">
    <w:name w:val="Document Map"/>
    <w:basedOn w:val="Normal"/>
    <w:semiHidden/>
    <w:rsid w:val="002E4464"/>
    <w:pPr>
      <w:shd w:val="clear" w:color="auto" w:fill="000080"/>
    </w:pPr>
    <w:rPr>
      <w:rFonts w:ascii="Tahoma" w:hAnsi="Tahoma" w:cs="Tahoma"/>
    </w:rPr>
  </w:style>
  <w:style w:type="paragraph" w:styleId="ListNumber2">
    <w:name w:val="List Number 2"/>
    <w:basedOn w:val="ListNumber"/>
    <w:rsid w:val="002E4464"/>
    <w:pPr>
      <w:ind w:left="851"/>
    </w:pPr>
  </w:style>
  <w:style w:type="paragraph" w:styleId="ListNumber">
    <w:name w:val="List Number"/>
    <w:basedOn w:val="List"/>
    <w:rsid w:val="002E4464"/>
  </w:style>
  <w:style w:type="paragraph" w:styleId="List">
    <w:name w:val="List"/>
    <w:basedOn w:val="Normal"/>
    <w:rsid w:val="002E4464"/>
    <w:pPr>
      <w:ind w:left="568" w:hanging="284"/>
    </w:pPr>
  </w:style>
  <w:style w:type="paragraph" w:styleId="Header">
    <w:name w:val="header"/>
    <w:rsid w:val="002E446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E4464"/>
    <w:rPr>
      <w:b/>
      <w:bCs/>
      <w:position w:val="6"/>
      <w:sz w:val="16"/>
      <w:szCs w:val="16"/>
    </w:rPr>
  </w:style>
  <w:style w:type="paragraph" w:styleId="FootnoteText">
    <w:name w:val="footnote text"/>
    <w:basedOn w:val="Normal"/>
    <w:semiHidden/>
    <w:rsid w:val="002E4464"/>
    <w:pPr>
      <w:keepLines/>
      <w:spacing w:after="0"/>
      <w:ind w:left="454" w:hanging="454"/>
    </w:pPr>
    <w:rPr>
      <w:sz w:val="16"/>
      <w:szCs w:val="16"/>
    </w:rPr>
  </w:style>
  <w:style w:type="paragraph" w:customStyle="1" w:styleId="3GPPHeader">
    <w:name w:val="3GPP_Header"/>
    <w:basedOn w:val="Normal"/>
    <w:qFormat/>
    <w:rsid w:val="002E4464"/>
    <w:pPr>
      <w:tabs>
        <w:tab w:val="left" w:pos="1800"/>
        <w:tab w:val="right" w:pos="9360"/>
      </w:tabs>
      <w:spacing w:after="0"/>
    </w:pPr>
    <w:rPr>
      <w:rFonts w:ascii="Arial" w:hAnsi="Arial"/>
      <w:b/>
    </w:rPr>
  </w:style>
  <w:style w:type="paragraph" w:styleId="TOC9">
    <w:name w:val="toc 9"/>
    <w:basedOn w:val="TOC8"/>
    <w:semiHidden/>
    <w:rsid w:val="002E4464"/>
    <w:pPr>
      <w:ind w:left="1418" w:hanging="1418"/>
    </w:pPr>
  </w:style>
  <w:style w:type="paragraph" w:styleId="TOC6">
    <w:name w:val="toc 6"/>
    <w:basedOn w:val="TOC5"/>
    <w:next w:val="Normal"/>
    <w:semiHidden/>
    <w:rsid w:val="002E4464"/>
    <w:pPr>
      <w:ind w:left="1985" w:hanging="1985"/>
    </w:pPr>
  </w:style>
  <w:style w:type="paragraph" w:styleId="TOC7">
    <w:name w:val="toc 7"/>
    <w:basedOn w:val="TOC6"/>
    <w:next w:val="Normal"/>
    <w:semiHidden/>
    <w:rsid w:val="002E4464"/>
    <w:pPr>
      <w:ind w:left="2268" w:hanging="2268"/>
    </w:pPr>
  </w:style>
  <w:style w:type="paragraph" w:styleId="ListBullet2">
    <w:name w:val="List Bullet 2"/>
    <w:basedOn w:val="ListBullet"/>
    <w:rsid w:val="002E4464"/>
    <w:pPr>
      <w:numPr>
        <w:numId w:val="6"/>
      </w:numPr>
    </w:pPr>
  </w:style>
  <w:style w:type="paragraph" w:styleId="ListBullet">
    <w:name w:val="List Bullet"/>
    <w:basedOn w:val="BodyText"/>
    <w:rsid w:val="002E4464"/>
    <w:pPr>
      <w:numPr>
        <w:numId w:val="5"/>
      </w:numPr>
    </w:pPr>
  </w:style>
  <w:style w:type="paragraph" w:styleId="ListBullet3">
    <w:name w:val="List Bullet 3"/>
    <w:basedOn w:val="ListBullet2"/>
    <w:rsid w:val="002E4464"/>
    <w:pPr>
      <w:numPr>
        <w:numId w:val="7"/>
      </w:numPr>
    </w:pPr>
  </w:style>
  <w:style w:type="paragraph" w:customStyle="1" w:styleId="EQ">
    <w:name w:val="EQ"/>
    <w:basedOn w:val="Normal"/>
    <w:next w:val="Normal"/>
    <w:rsid w:val="002E4464"/>
    <w:pPr>
      <w:keepLines/>
      <w:tabs>
        <w:tab w:val="center" w:pos="4536"/>
        <w:tab w:val="right" w:pos="9072"/>
      </w:tabs>
      <w:spacing w:after="180"/>
      <w:jc w:val="left"/>
    </w:pPr>
    <w:rPr>
      <w:noProof/>
      <w:lang w:eastAsia="en-US"/>
    </w:rPr>
  </w:style>
  <w:style w:type="paragraph" w:styleId="List2">
    <w:name w:val="List 2"/>
    <w:basedOn w:val="List"/>
    <w:rsid w:val="002E4464"/>
    <w:pPr>
      <w:ind w:left="851"/>
    </w:pPr>
  </w:style>
  <w:style w:type="paragraph" w:styleId="List3">
    <w:name w:val="List 3"/>
    <w:basedOn w:val="List2"/>
    <w:rsid w:val="002E4464"/>
    <w:pPr>
      <w:ind w:left="1135"/>
    </w:pPr>
  </w:style>
  <w:style w:type="paragraph" w:styleId="List4">
    <w:name w:val="List 4"/>
    <w:basedOn w:val="List3"/>
    <w:rsid w:val="002E4464"/>
    <w:pPr>
      <w:ind w:left="1418"/>
    </w:pPr>
  </w:style>
  <w:style w:type="paragraph" w:styleId="List5">
    <w:name w:val="List 5"/>
    <w:basedOn w:val="List4"/>
    <w:rsid w:val="002E4464"/>
    <w:pPr>
      <w:ind w:left="1702"/>
    </w:pPr>
  </w:style>
  <w:style w:type="paragraph" w:customStyle="1" w:styleId="EditorsNote">
    <w:name w:val="Editor's Note"/>
    <w:basedOn w:val="Normal"/>
    <w:rsid w:val="002E4464"/>
    <w:pPr>
      <w:keepLines/>
      <w:spacing w:after="180"/>
      <w:ind w:left="1135" w:hanging="851"/>
      <w:jc w:val="left"/>
    </w:pPr>
    <w:rPr>
      <w:color w:val="FF0000"/>
      <w:lang w:eastAsia="en-US"/>
    </w:rPr>
  </w:style>
  <w:style w:type="paragraph" w:styleId="ListBullet4">
    <w:name w:val="List Bullet 4"/>
    <w:basedOn w:val="ListBullet3"/>
    <w:rsid w:val="002E4464"/>
    <w:pPr>
      <w:numPr>
        <w:numId w:val="8"/>
      </w:numPr>
    </w:pPr>
  </w:style>
  <w:style w:type="paragraph" w:styleId="ListBullet5">
    <w:name w:val="List Bullet 5"/>
    <w:basedOn w:val="ListBullet4"/>
    <w:rsid w:val="002E4464"/>
    <w:pPr>
      <w:numPr>
        <w:numId w:val="4"/>
      </w:numPr>
    </w:pPr>
  </w:style>
  <w:style w:type="paragraph" w:styleId="Footer">
    <w:name w:val="footer"/>
    <w:basedOn w:val="Header"/>
    <w:semiHidden/>
    <w:rsid w:val="002E4464"/>
    <w:pPr>
      <w:jc w:val="center"/>
    </w:pPr>
    <w:rPr>
      <w:i/>
      <w:iCs/>
    </w:rPr>
  </w:style>
  <w:style w:type="paragraph" w:customStyle="1" w:styleId="Reference">
    <w:name w:val="Reference"/>
    <w:basedOn w:val="Normal"/>
    <w:qFormat/>
    <w:rsid w:val="002E4464"/>
    <w:pPr>
      <w:numPr>
        <w:numId w:val="2"/>
      </w:numPr>
    </w:pPr>
  </w:style>
  <w:style w:type="paragraph" w:styleId="BalloonText">
    <w:name w:val="Balloon Text"/>
    <w:basedOn w:val="Normal"/>
    <w:semiHidden/>
    <w:rsid w:val="002E4464"/>
    <w:rPr>
      <w:rFonts w:ascii="Tahoma" w:hAnsi="Tahoma" w:cs="Tahoma"/>
      <w:sz w:val="16"/>
      <w:szCs w:val="16"/>
    </w:rPr>
  </w:style>
  <w:style w:type="character" w:styleId="PageNumber">
    <w:name w:val="page number"/>
    <w:basedOn w:val="DefaultParagraphFont"/>
    <w:semiHidden/>
    <w:rsid w:val="002E4464"/>
  </w:style>
  <w:style w:type="paragraph" w:styleId="BodyText">
    <w:name w:val="Body Text"/>
    <w:basedOn w:val="Normal"/>
    <w:link w:val="BodyTextChar"/>
    <w:qFormat/>
    <w:rsid w:val="002E4464"/>
  </w:style>
  <w:style w:type="character" w:styleId="Hyperlink">
    <w:name w:val="Hyperlink"/>
    <w:uiPriority w:val="99"/>
    <w:rsid w:val="002E4464"/>
    <w:rPr>
      <w:color w:val="0000FF"/>
      <w:u w:val="single"/>
      <w:lang w:val="en-GB"/>
    </w:rPr>
  </w:style>
  <w:style w:type="character" w:styleId="FollowedHyperlink">
    <w:name w:val="FollowedHyperlink"/>
    <w:semiHidden/>
    <w:rsid w:val="002E4464"/>
    <w:rPr>
      <w:color w:val="FF0000"/>
      <w:u w:val="single"/>
    </w:rPr>
  </w:style>
  <w:style w:type="character" w:styleId="CommentReference">
    <w:name w:val="annotation reference"/>
    <w:semiHidden/>
    <w:rsid w:val="002E4464"/>
    <w:rPr>
      <w:sz w:val="16"/>
      <w:szCs w:val="16"/>
    </w:rPr>
  </w:style>
  <w:style w:type="paragraph" w:styleId="CommentText">
    <w:name w:val="annotation text"/>
    <w:basedOn w:val="Normal"/>
    <w:semiHidden/>
    <w:rsid w:val="002E4464"/>
  </w:style>
  <w:style w:type="paragraph" w:styleId="CommentSubject">
    <w:name w:val="annotation subject"/>
    <w:basedOn w:val="CommentText"/>
    <w:next w:val="CommentText"/>
    <w:semiHidden/>
    <w:rsid w:val="002E446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4464"/>
    <w:rPr>
      <w:rFonts w:ascii="Arial" w:hAnsi="Arial" w:cs="Arial"/>
      <w:sz w:val="32"/>
      <w:szCs w:val="36"/>
      <w:lang w:val="en-GB" w:eastAsia="zh-CN"/>
    </w:rPr>
  </w:style>
  <w:style w:type="paragraph" w:customStyle="1" w:styleId="B1">
    <w:name w:val="B1"/>
    <w:basedOn w:val="List"/>
    <w:rsid w:val="002E4464"/>
    <w:pPr>
      <w:spacing w:after="180"/>
      <w:jc w:val="left"/>
    </w:pPr>
    <w:rPr>
      <w:lang w:eastAsia="en-US"/>
    </w:rPr>
  </w:style>
  <w:style w:type="paragraph" w:customStyle="1" w:styleId="B2">
    <w:name w:val="B2"/>
    <w:basedOn w:val="List2"/>
    <w:rsid w:val="002E4464"/>
    <w:pPr>
      <w:spacing w:after="180"/>
      <w:jc w:val="left"/>
    </w:pPr>
    <w:rPr>
      <w:lang w:eastAsia="en-US"/>
    </w:rPr>
  </w:style>
  <w:style w:type="paragraph" w:customStyle="1" w:styleId="B3">
    <w:name w:val="B3"/>
    <w:basedOn w:val="List3"/>
    <w:rsid w:val="002E4464"/>
    <w:pPr>
      <w:spacing w:after="180"/>
      <w:jc w:val="left"/>
    </w:pPr>
    <w:rPr>
      <w:lang w:eastAsia="en-US"/>
    </w:rPr>
  </w:style>
  <w:style w:type="paragraph" w:customStyle="1" w:styleId="B4">
    <w:name w:val="B4"/>
    <w:basedOn w:val="List4"/>
    <w:rsid w:val="002E4464"/>
    <w:pPr>
      <w:spacing w:after="180"/>
      <w:jc w:val="left"/>
    </w:pPr>
    <w:rPr>
      <w:lang w:eastAsia="en-US"/>
    </w:rPr>
  </w:style>
  <w:style w:type="paragraph" w:customStyle="1" w:styleId="Proposal">
    <w:name w:val="Proposal"/>
    <w:basedOn w:val="Normal"/>
    <w:qFormat/>
    <w:rsid w:val="002E4464"/>
    <w:pPr>
      <w:numPr>
        <w:numId w:val="3"/>
      </w:numPr>
      <w:tabs>
        <w:tab w:val="clear" w:pos="1304"/>
        <w:tab w:val="left" w:pos="1701"/>
      </w:tabs>
      <w:ind w:left="1701" w:hanging="1701"/>
    </w:pPr>
    <w:rPr>
      <w:b/>
      <w:bCs/>
    </w:rPr>
  </w:style>
  <w:style w:type="character" w:customStyle="1" w:styleId="BodyTextChar">
    <w:name w:val="Body Text Char"/>
    <w:link w:val="BodyText"/>
    <w:rsid w:val="002E4464"/>
    <w:rPr>
      <w:rFonts w:ascii="Times New Roman" w:hAnsi="Times New Roman"/>
      <w:lang w:val="en-GB" w:eastAsia="zh-CN"/>
    </w:rPr>
  </w:style>
  <w:style w:type="paragraph" w:customStyle="1" w:styleId="B5">
    <w:name w:val="B5"/>
    <w:basedOn w:val="List5"/>
    <w:rsid w:val="002E4464"/>
    <w:pPr>
      <w:spacing w:after="180"/>
      <w:jc w:val="left"/>
    </w:pPr>
    <w:rPr>
      <w:lang w:eastAsia="en-US"/>
    </w:rPr>
  </w:style>
  <w:style w:type="paragraph" w:customStyle="1" w:styleId="EX">
    <w:name w:val="EX"/>
    <w:basedOn w:val="Normal"/>
    <w:rsid w:val="002E4464"/>
    <w:pPr>
      <w:keepLines/>
      <w:spacing w:after="180"/>
      <w:ind w:left="1702" w:hanging="1418"/>
      <w:jc w:val="left"/>
    </w:pPr>
    <w:rPr>
      <w:lang w:eastAsia="en-US"/>
    </w:rPr>
  </w:style>
  <w:style w:type="paragraph" w:customStyle="1" w:styleId="EW">
    <w:name w:val="EW"/>
    <w:basedOn w:val="EX"/>
    <w:rsid w:val="002E4464"/>
    <w:pPr>
      <w:spacing w:after="0"/>
    </w:pPr>
  </w:style>
  <w:style w:type="paragraph" w:customStyle="1" w:styleId="TAL">
    <w:name w:val="TAL"/>
    <w:basedOn w:val="Normal"/>
    <w:rsid w:val="002E4464"/>
    <w:pPr>
      <w:keepNext/>
      <w:keepLines/>
      <w:spacing w:after="0"/>
      <w:jc w:val="left"/>
    </w:pPr>
    <w:rPr>
      <w:sz w:val="18"/>
      <w:lang w:eastAsia="en-US"/>
    </w:rPr>
  </w:style>
  <w:style w:type="paragraph" w:customStyle="1" w:styleId="TAC">
    <w:name w:val="TAC"/>
    <w:basedOn w:val="TAL"/>
    <w:rsid w:val="002E4464"/>
    <w:pPr>
      <w:jc w:val="center"/>
    </w:pPr>
  </w:style>
  <w:style w:type="paragraph" w:customStyle="1" w:styleId="TAH">
    <w:name w:val="TAH"/>
    <w:basedOn w:val="TAC"/>
    <w:rsid w:val="002E4464"/>
    <w:rPr>
      <w:b/>
    </w:rPr>
  </w:style>
  <w:style w:type="paragraph" w:customStyle="1" w:styleId="TAN">
    <w:name w:val="TAN"/>
    <w:basedOn w:val="TAL"/>
    <w:rsid w:val="002E4464"/>
    <w:pPr>
      <w:ind w:left="851" w:hanging="851"/>
    </w:pPr>
  </w:style>
  <w:style w:type="paragraph" w:customStyle="1" w:styleId="TAR">
    <w:name w:val="TAR"/>
    <w:basedOn w:val="TAL"/>
    <w:rsid w:val="002E4464"/>
    <w:pPr>
      <w:jc w:val="right"/>
    </w:pPr>
  </w:style>
  <w:style w:type="paragraph" w:customStyle="1" w:styleId="TH">
    <w:name w:val="TH"/>
    <w:basedOn w:val="Normal"/>
    <w:rsid w:val="002E4464"/>
    <w:pPr>
      <w:keepNext/>
      <w:keepLines/>
      <w:spacing w:before="60" w:after="180"/>
      <w:jc w:val="center"/>
    </w:pPr>
    <w:rPr>
      <w:b/>
      <w:lang w:eastAsia="en-US"/>
    </w:rPr>
  </w:style>
  <w:style w:type="paragraph" w:customStyle="1" w:styleId="TF">
    <w:name w:val="TF"/>
    <w:basedOn w:val="TH"/>
    <w:rsid w:val="002E4464"/>
    <w:pPr>
      <w:keepNext w:val="0"/>
      <w:spacing w:before="0" w:after="240"/>
    </w:pPr>
  </w:style>
  <w:style w:type="paragraph" w:customStyle="1" w:styleId="TT">
    <w:name w:val="TT"/>
    <w:basedOn w:val="Heading1"/>
    <w:next w:val="Normal"/>
    <w:rsid w:val="002E4464"/>
    <w:pPr>
      <w:numPr>
        <w:numId w:val="0"/>
      </w:numPr>
      <w:ind w:left="1134" w:hanging="1134"/>
      <w:outlineLvl w:val="9"/>
    </w:pPr>
    <w:rPr>
      <w:rFonts w:cs="Times New Roman"/>
      <w:szCs w:val="20"/>
      <w:lang w:eastAsia="en-US"/>
    </w:rPr>
  </w:style>
  <w:style w:type="paragraph" w:customStyle="1" w:styleId="ZA">
    <w:name w:val="ZA"/>
    <w:rsid w:val="002E44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E44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E446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E446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E4464"/>
  </w:style>
  <w:style w:type="paragraph" w:customStyle="1" w:styleId="ZH">
    <w:name w:val="ZH"/>
    <w:rsid w:val="002E446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E44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E4464"/>
    <w:pPr>
      <w:framePr w:hRule="auto" w:wrap="notBeside" w:y="852"/>
    </w:pPr>
    <w:rPr>
      <w:i w:val="0"/>
      <w:sz w:val="40"/>
    </w:rPr>
  </w:style>
  <w:style w:type="paragraph" w:customStyle="1" w:styleId="ZU">
    <w:name w:val="ZU"/>
    <w:rsid w:val="002E44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E4464"/>
    <w:pPr>
      <w:framePr w:wrap="notBeside" w:y="16161"/>
    </w:pPr>
  </w:style>
  <w:style w:type="paragraph" w:customStyle="1" w:styleId="FP">
    <w:name w:val="FP"/>
    <w:basedOn w:val="Normal"/>
    <w:rsid w:val="002E4464"/>
    <w:pPr>
      <w:spacing w:after="0"/>
      <w:jc w:val="left"/>
    </w:pPr>
    <w:rPr>
      <w:lang w:eastAsia="en-US"/>
    </w:rPr>
  </w:style>
  <w:style w:type="paragraph" w:customStyle="1" w:styleId="Observation">
    <w:name w:val="Observation"/>
    <w:basedOn w:val="Proposal"/>
    <w:qFormat/>
    <w:rsid w:val="002E4464"/>
    <w:pPr>
      <w:numPr>
        <w:numId w:val="13"/>
      </w:numPr>
      <w:ind w:left="1701" w:hanging="1701"/>
    </w:pPr>
  </w:style>
  <w:style w:type="paragraph" w:styleId="TableofFigures">
    <w:name w:val="table of figures"/>
    <w:basedOn w:val="Normal"/>
    <w:next w:val="Normal"/>
    <w:uiPriority w:val="99"/>
    <w:rsid w:val="002E4464"/>
    <w:pPr>
      <w:ind w:left="1418" w:hanging="1418"/>
      <w:jc w:val="left"/>
    </w:pPr>
    <w:rPr>
      <w:b/>
    </w:rPr>
  </w:style>
  <w:style w:type="paragraph" w:styleId="Index4">
    <w:name w:val="index 4"/>
    <w:basedOn w:val="Normal"/>
    <w:next w:val="Normal"/>
    <w:autoRedefine/>
    <w:rsid w:val="002E446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2B036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643479">
      <w:bodyDiv w:val="1"/>
      <w:marLeft w:val="0"/>
      <w:marRight w:val="0"/>
      <w:marTop w:val="0"/>
      <w:marBottom w:val="0"/>
      <w:divBdr>
        <w:top w:val="none" w:sz="0" w:space="0" w:color="auto"/>
        <w:left w:val="none" w:sz="0" w:space="0" w:color="auto"/>
        <w:bottom w:val="none" w:sz="0" w:space="0" w:color="auto"/>
        <w:right w:val="none" w:sz="0" w:space="0" w:color="auto"/>
      </w:divBdr>
    </w:div>
    <w:div w:id="766080491">
      <w:bodyDiv w:val="1"/>
      <w:marLeft w:val="0"/>
      <w:marRight w:val="0"/>
      <w:marTop w:val="0"/>
      <w:marBottom w:val="0"/>
      <w:divBdr>
        <w:top w:val="none" w:sz="0" w:space="0" w:color="auto"/>
        <w:left w:val="none" w:sz="0" w:space="0" w:color="auto"/>
        <w:bottom w:val="none" w:sz="0" w:space="0" w:color="auto"/>
        <w:right w:val="none" w:sz="0" w:space="0" w:color="auto"/>
      </w:divBdr>
    </w:div>
    <w:div w:id="15869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9FF59-D80F-49AB-8ACF-BCBE8DB88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996</Words>
  <Characters>5681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2017-09-12T03:19:00Z</dcterms:created>
  <dcterms:modified xsi:type="dcterms:W3CDTF">2017-09-12T03:19:00Z</dcterms:modified>
</cp:coreProperties>
</file>